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A1F9" w14:textId="77777777" w:rsidR="001064E0" w:rsidRDefault="001064E0" w:rsidP="001064E0">
      <w:pPr>
        <w:pStyle w:val="a3"/>
        <w:ind w:leftChars="0" w:left="0"/>
        <w:jc w:val="center"/>
        <w:rPr>
          <w:rFonts w:ascii="Times New Roman" w:eastAsia="標楷體" w:hAnsi="Times New Roman" w:cs="Times New Roman"/>
          <w:b/>
          <w:sz w:val="32"/>
          <w:szCs w:val="32"/>
        </w:rPr>
      </w:pPr>
      <w:bookmarkStart w:id="0" w:name="_GoBack"/>
      <w:bookmarkEnd w:id="0"/>
      <w:r w:rsidRPr="005C0D38">
        <w:rPr>
          <w:rFonts w:ascii="Times New Roman" w:eastAsia="標楷體" w:hAnsi="Times New Roman" w:cs="Times New Roman"/>
          <w:b/>
          <w:sz w:val="32"/>
          <w:szCs w:val="32"/>
        </w:rPr>
        <w:t>目標達成情形摘要及亮點</w:t>
      </w:r>
    </w:p>
    <w:p w14:paraId="4F82FFBA" w14:textId="2FA9B923" w:rsidR="00DC2A1A" w:rsidRPr="00DC2A1A" w:rsidRDefault="00DC2A1A" w:rsidP="001064E0">
      <w:pPr>
        <w:pStyle w:val="a3"/>
        <w:ind w:leftChars="0" w:left="0"/>
        <w:jc w:val="center"/>
        <w:rPr>
          <w:rFonts w:ascii="Times New Roman" w:eastAsia="標楷體" w:hAnsi="Times New Roman" w:cs="Times New Roman"/>
          <w:b/>
          <w:sz w:val="32"/>
          <w:szCs w:val="32"/>
        </w:rPr>
      </w:pPr>
      <w:r w:rsidRPr="00DC2A1A">
        <w:rPr>
          <w:rFonts w:ascii="Times New Roman" w:eastAsia="標楷體" w:hAnsi="Times New Roman" w:cs="Times New Roman"/>
          <w:b/>
          <w:sz w:val="32"/>
          <w:szCs w:val="32"/>
        </w:rPr>
        <w:t>Summary of Achievement Highlights and Goal Attainment</w:t>
      </w:r>
    </w:p>
    <w:p w14:paraId="1B469158" w14:textId="77777777" w:rsidR="001064E0" w:rsidRDefault="001064E0" w:rsidP="001064E0">
      <w:pPr>
        <w:spacing w:line="42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為推動</w:t>
      </w:r>
      <w:r w:rsidRPr="00C14F3D">
        <w:rPr>
          <w:rFonts w:ascii="Times New Roman" w:eastAsia="標楷體" w:hAnsi="Times New Roman" w:cs="Times New Roman"/>
          <w:b/>
          <w:bCs/>
          <w:sz w:val="28"/>
          <w:szCs w:val="28"/>
        </w:rPr>
        <w:t>「教學創新精進」</w:t>
      </w:r>
      <w:r>
        <w:rPr>
          <w:rFonts w:ascii="Times New Roman" w:eastAsia="標楷體" w:hAnsi="Times New Roman" w:cs="Times New Roman" w:hint="eastAsia"/>
          <w:sz w:val="28"/>
          <w:szCs w:val="28"/>
        </w:rPr>
        <w:t>，本校</w:t>
      </w:r>
      <w:r w:rsidRPr="0007583F">
        <w:rPr>
          <w:rFonts w:ascii="Times New Roman" w:eastAsia="標楷體" w:hAnsi="Times New Roman" w:cs="Times New Roman"/>
          <w:sz w:val="28"/>
          <w:szCs w:val="28"/>
        </w:rPr>
        <w:t>建立多元</w:t>
      </w:r>
      <w:r>
        <w:rPr>
          <w:rFonts w:ascii="Times New Roman" w:eastAsia="標楷體" w:hAnsi="Times New Roman" w:cs="Times New Roman" w:hint="eastAsia"/>
          <w:sz w:val="28"/>
          <w:szCs w:val="28"/>
        </w:rPr>
        <w:t>彈性</w:t>
      </w:r>
      <w:r w:rsidRPr="0007583F">
        <w:rPr>
          <w:rFonts w:ascii="Times New Roman" w:eastAsia="標楷體" w:hAnsi="Times New Roman" w:cs="Times New Roman"/>
          <w:sz w:val="28"/>
          <w:szCs w:val="28"/>
        </w:rPr>
        <w:t>學制</w:t>
      </w:r>
      <w:r>
        <w:rPr>
          <w:rFonts w:ascii="Times New Roman" w:eastAsia="標楷體" w:hAnsi="Times New Roman" w:cs="Times New Roman" w:hint="eastAsia"/>
          <w:sz w:val="28"/>
          <w:szCs w:val="28"/>
        </w:rPr>
        <w:t>，包括</w:t>
      </w:r>
      <w:r w:rsidRPr="0007583F">
        <w:rPr>
          <w:rFonts w:ascii="Times New Roman" w:eastAsia="標楷體" w:hAnsi="Times New Roman" w:cs="Times New Roman"/>
          <w:sz w:val="28"/>
          <w:szCs w:val="28"/>
        </w:rPr>
        <w:t>降低畢業學分數</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增加暑期學程</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支持雙</w:t>
      </w:r>
      <w:proofErr w:type="gramStart"/>
      <w:r w:rsidRPr="0007583F">
        <w:rPr>
          <w:rFonts w:ascii="Times New Roman" w:eastAsia="標楷體" w:hAnsi="Times New Roman" w:cs="Times New Roman"/>
          <w:sz w:val="28"/>
          <w:szCs w:val="28"/>
        </w:rPr>
        <w:t>主修及輔系</w:t>
      </w:r>
      <w:proofErr w:type="gramEnd"/>
      <w:r w:rsidRPr="0007583F">
        <w:rPr>
          <w:rFonts w:ascii="Times New Roman" w:eastAsia="標楷體" w:hAnsi="Times New Roman" w:cs="Times New Roman"/>
          <w:sz w:val="28"/>
          <w:szCs w:val="28"/>
        </w:rPr>
        <w:t>選擇</w:t>
      </w:r>
      <w:r>
        <w:rPr>
          <w:rFonts w:ascii="Times New Roman" w:eastAsia="標楷體" w:hAnsi="Times New Roman" w:cs="Times New Roman" w:hint="eastAsia"/>
          <w:sz w:val="28"/>
          <w:szCs w:val="28"/>
        </w:rPr>
        <w:t>等，並</w:t>
      </w:r>
      <w:r w:rsidRPr="0007583F">
        <w:rPr>
          <w:rFonts w:ascii="Times New Roman" w:eastAsia="標楷體" w:hAnsi="Times New Roman" w:cs="Times New Roman"/>
          <w:sz w:val="28"/>
          <w:szCs w:val="28"/>
        </w:rPr>
        <w:t>設立近</w:t>
      </w:r>
      <w:r w:rsidRPr="0007583F">
        <w:rPr>
          <w:rFonts w:ascii="Times New Roman" w:eastAsia="標楷體" w:hAnsi="Times New Roman" w:cs="Times New Roman"/>
          <w:sz w:val="28"/>
          <w:szCs w:val="28"/>
        </w:rPr>
        <w:t>50</w:t>
      </w:r>
      <w:r w:rsidRPr="0007583F">
        <w:rPr>
          <w:rFonts w:ascii="Times New Roman" w:eastAsia="標楷體" w:hAnsi="Times New Roman" w:cs="Times New Roman"/>
          <w:sz w:val="28"/>
          <w:szCs w:val="28"/>
        </w:rPr>
        <w:t>個跨領域學分學程</w:t>
      </w:r>
      <w:r>
        <w:rPr>
          <w:rFonts w:ascii="Times New Roman" w:eastAsia="標楷體" w:hAnsi="Times New Roman" w:cs="Times New Roman" w:hint="eastAsia"/>
          <w:sz w:val="28"/>
          <w:szCs w:val="28"/>
        </w:rPr>
        <w:t>，以培養</w:t>
      </w:r>
      <w:r w:rsidRPr="0007583F">
        <w:rPr>
          <w:rFonts w:ascii="Times New Roman" w:eastAsia="標楷體" w:hAnsi="Times New Roman" w:cs="Times New Roman"/>
          <w:sz w:val="28"/>
          <w:szCs w:val="28"/>
        </w:rPr>
        <w:t>學生跨領域及數位能力的發展。</w:t>
      </w:r>
      <w:r>
        <w:rPr>
          <w:rFonts w:ascii="Times New Roman" w:eastAsia="標楷體" w:hAnsi="Times New Roman" w:cs="Times New Roman" w:hint="eastAsia"/>
          <w:sz w:val="28"/>
          <w:szCs w:val="28"/>
        </w:rPr>
        <w:t>本校由</w:t>
      </w:r>
      <w:r w:rsidRPr="0007583F">
        <w:rPr>
          <w:rFonts w:ascii="Times New Roman" w:eastAsia="標楷體" w:hAnsi="Times New Roman" w:cs="Times New Roman"/>
          <w:sz w:val="28"/>
          <w:szCs w:val="28"/>
        </w:rPr>
        <w:t>智慧運算學院</w:t>
      </w:r>
      <w:r>
        <w:rPr>
          <w:rFonts w:ascii="Times New Roman" w:eastAsia="標楷體" w:hAnsi="Times New Roman" w:cs="Times New Roman" w:hint="eastAsia"/>
          <w:sz w:val="28"/>
          <w:szCs w:val="28"/>
        </w:rPr>
        <w:t>統籌</w:t>
      </w:r>
      <w:r w:rsidRPr="0007583F">
        <w:rPr>
          <w:rFonts w:ascii="Times New Roman" w:eastAsia="標楷體" w:hAnsi="Times New Roman" w:cs="Times New Roman"/>
          <w:sz w:val="28"/>
          <w:szCs w:val="28"/>
        </w:rPr>
        <w:t>推動</w:t>
      </w:r>
      <w:r>
        <w:rPr>
          <w:rFonts w:ascii="Times New Roman" w:eastAsia="標楷體" w:hAnsi="Times New Roman" w:cs="Times New Roman" w:hint="eastAsia"/>
          <w:sz w:val="28"/>
          <w:szCs w:val="28"/>
        </w:rPr>
        <w:t>AI</w:t>
      </w:r>
      <w:r w:rsidRPr="0007583F">
        <w:rPr>
          <w:rFonts w:ascii="Times New Roman" w:eastAsia="標楷體" w:hAnsi="Times New Roman" w:cs="Times New Roman"/>
          <w:sz w:val="28"/>
          <w:szCs w:val="28"/>
        </w:rPr>
        <w:t>在各學科的應用，並開發</w:t>
      </w:r>
      <w:r w:rsidRPr="0007583F">
        <w:rPr>
          <w:rFonts w:ascii="Times New Roman" w:eastAsia="標楷體" w:hAnsi="Times New Roman" w:cs="Times New Roman"/>
          <w:sz w:val="28"/>
          <w:szCs w:val="28"/>
        </w:rPr>
        <w:t>AI</w:t>
      </w:r>
      <w:r w:rsidRPr="0007583F">
        <w:rPr>
          <w:rFonts w:ascii="Times New Roman" w:eastAsia="標楷體" w:hAnsi="Times New Roman" w:cs="Times New Roman"/>
          <w:sz w:val="28"/>
          <w:szCs w:val="28"/>
        </w:rPr>
        <w:t>及程式設計課程，</w:t>
      </w:r>
      <w:r>
        <w:rPr>
          <w:rFonts w:ascii="Times New Roman" w:eastAsia="標楷體" w:hAnsi="Times New Roman" w:cs="Times New Roman" w:hint="eastAsia"/>
          <w:sz w:val="28"/>
          <w:szCs w:val="28"/>
        </w:rPr>
        <w:t>全面性</w:t>
      </w:r>
      <w:r w:rsidRPr="0007583F">
        <w:rPr>
          <w:rFonts w:ascii="Times New Roman" w:eastAsia="標楷體" w:hAnsi="Times New Roman" w:cs="Times New Roman"/>
          <w:sz w:val="28"/>
          <w:szCs w:val="28"/>
        </w:rPr>
        <w:t>提升學生的數位素養</w:t>
      </w:r>
      <w:r>
        <w:rPr>
          <w:rFonts w:ascii="Times New Roman" w:eastAsia="標楷體" w:hAnsi="Times New Roman" w:cs="Times New Roman" w:hint="eastAsia"/>
          <w:sz w:val="28"/>
          <w:szCs w:val="28"/>
        </w:rPr>
        <w:t>；以</w:t>
      </w:r>
      <w:r w:rsidRPr="0007583F">
        <w:rPr>
          <w:rFonts w:ascii="Times New Roman" w:eastAsia="標楷體" w:hAnsi="Times New Roman" w:cs="Times New Roman"/>
          <w:sz w:val="28"/>
          <w:szCs w:val="28"/>
        </w:rPr>
        <w:t>臨床技能</w:t>
      </w:r>
      <w:r>
        <w:rPr>
          <w:rFonts w:ascii="Times New Roman" w:eastAsia="標楷體" w:hAnsi="Times New Roman" w:cs="Times New Roman" w:hint="eastAsia"/>
          <w:sz w:val="28"/>
          <w:szCs w:val="28"/>
        </w:rPr>
        <w:t>與模擬</w:t>
      </w:r>
      <w:r w:rsidRPr="0007583F">
        <w:rPr>
          <w:rFonts w:ascii="Times New Roman" w:eastAsia="標楷體" w:hAnsi="Times New Roman" w:cs="Times New Roman"/>
          <w:sz w:val="28"/>
          <w:szCs w:val="28"/>
        </w:rPr>
        <w:t>中心提供跨專業訓練</w:t>
      </w:r>
      <w:r>
        <w:rPr>
          <w:rFonts w:ascii="Times New Roman" w:eastAsia="標楷體" w:hAnsi="Times New Roman" w:cs="Times New Roman" w:hint="eastAsia"/>
          <w:sz w:val="28"/>
          <w:szCs w:val="28"/>
        </w:rPr>
        <w:t>及</w:t>
      </w:r>
      <w:r w:rsidRPr="0007583F">
        <w:rPr>
          <w:rFonts w:ascii="Times New Roman" w:eastAsia="標楷體" w:hAnsi="Times New Roman" w:cs="Times New Roman"/>
          <w:sz w:val="28"/>
          <w:szCs w:val="28"/>
        </w:rPr>
        <w:t>高擬真模擬課程，</w:t>
      </w:r>
      <w:r>
        <w:rPr>
          <w:rFonts w:ascii="Times New Roman" w:eastAsia="標楷體" w:hAnsi="Times New Roman" w:cs="Times New Roman" w:hint="eastAsia"/>
          <w:sz w:val="28"/>
          <w:szCs w:val="28"/>
        </w:rPr>
        <w:t>建立本校醫學專業課程特色。同時</w:t>
      </w:r>
      <w:r w:rsidRPr="0007583F">
        <w:rPr>
          <w:rFonts w:ascii="Times New Roman" w:eastAsia="標楷體" w:hAnsi="Times New Roman" w:cs="Times New Roman"/>
          <w:sz w:val="28"/>
          <w:szCs w:val="28"/>
        </w:rPr>
        <w:t>積極推行問題導向、翻轉教室</w:t>
      </w:r>
      <w:r>
        <w:rPr>
          <w:rFonts w:ascii="Times New Roman" w:eastAsia="標楷體" w:hAnsi="Times New Roman" w:cs="Times New Roman" w:hint="eastAsia"/>
          <w:sz w:val="28"/>
          <w:szCs w:val="28"/>
        </w:rPr>
        <w:t>、校外</w:t>
      </w:r>
      <w:r w:rsidRPr="0007583F">
        <w:rPr>
          <w:rFonts w:ascii="Times New Roman" w:eastAsia="標楷體" w:hAnsi="Times New Roman" w:cs="Times New Roman"/>
          <w:sz w:val="28"/>
          <w:szCs w:val="28"/>
        </w:rPr>
        <w:t>實習</w:t>
      </w:r>
      <w:r>
        <w:rPr>
          <w:rFonts w:ascii="Times New Roman" w:eastAsia="標楷體" w:hAnsi="Times New Roman" w:cs="Times New Roman" w:hint="eastAsia"/>
          <w:sz w:val="28"/>
          <w:szCs w:val="28"/>
        </w:rPr>
        <w:t>及業師授課</w:t>
      </w:r>
      <w:r w:rsidRPr="0007583F">
        <w:rPr>
          <w:rFonts w:ascii="Times New Roman" w:eastAsia="標楷體" w:hAnsi="Times New Roman" w:cs="Times New Roman"/>
          <w:sz w:val="28"/>
          <w:szCs w:val="28"/>
        </w:rPr>
        <w:t>等</w:t>
      </w:r>
      <w:r>
        <w:rPr>
          <w:rFonts w:ascii="Times New Roman" w:eastAsia="標楷體" w:hAnsi="Times New Roman" w:cs="Times New Roman" w:hint="eastAsia"/>
          <w:sz w:val="28"/>
          <w:szCs w:val="28"/>
        </w:rPr>
        <w:t>多元</w:t>
      </w:r>
      <w:r w:rsidRPr="0007583F">
        <w:rPr>
          <w:rFonts w:ascii="Times New Roman" w:eastAsia="標楷體" w:hAnsi="Times New Roman" w:cs="Times New Roman"/>
          <w:sz w:val="28"/>
          <w:szCs w:val="28"/>
        </w:rPr>
        <w:t>創新教學，支持學生實務技能與創業能力</w:t>
      </w:r>
      <w:r>
        <w:rPr>
          <w:rFonts w:ascii="Times New Roman" w:eastAsia="標楷體" w:hAnsi="Times New Roman" w:cs="Times New Roman" w:hint="eastAsia"/>
          <w:sz w:val="28"/>
          <w:szCs w:val="28"/>
        </w:rPr>
        <w:t>；另</w:t>
      </w:r>
      <w:r w:rsidRPr="0007583F">
        <w:rPr>
          <w:rFonts w:ascii="Times New Roman" w:eastAsia="標楷體" w:hAnsi="Times New Roman" w:cs="Times New Roman"/>
          <w:sz w:val="28"/>
          <w:szCs w:val="28"/>
        </w:rPr>
        <w:t>為強化</w:t>
      </w:r>
      <w:r>
        <w:rPr>
          <w:rFonts w:ascii="Times New Roman" w:eastAsia="標楷體" w:hAnsi="Times New Roman" w:cs="Times New Roman" w:hint="eastAsia"/>
          <w:sz w:val="28"/>
          <w:szCs w:val="28"/>
        </w:rPr>
        <w:t>學生的</w:t>
      </w:r>
      <w:r w:rsidRPr="0007583F">
        <w:rPr>
          <w:rFonts w:ascii="Times New Roman" w:eastAsia="標楷體" w:hAnsi="Times New Roman" w:cs="Times New Roman"/>
          <w:sz w:val="28"/>
          <w:szCs w:val="28"/>
        </w:rPr>
        <w:t>雙語能力，推動</w:t>
      </w:r>
      <w:r w:rsidRPr="0007583F">
        <w:rPr>
          <w:rFonts w:ascii="Times New Roman" w:eastAsia="標楷體" w:hAnsi="Times New Roman" w:cs="Times New Roman"/>
          <w:sz w:val="28"/>
          <w:szCs w:val="28"/>
        </w:rPr>
        <w:t>EMI</w:t>
      </w:r>
      <w:r w:rsidRPr="0007583F">
        <w:rPr>
          <w:rFonts w:ascii="Times New Roman" w:eastAsia="標楷體" w:hAnsi="Times New Roman" w:cs="Times New Roman"/>
          <w:sz w:val="28"/>
          <w:szCs w:val="28"/>
        </w:rPr>
        <w:t>教學計畫，設立雙語課程</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推廣</w:t>
      </w:r>
      <w:r w:rsidRPr="0007583F">
        <w:rPr>
          <w:rFonts w:ascii="Times New Roman" w:eastAsia="標楷體" w:hAnsi="Times New Roman" w:cs="Times New Roman"/>
          <w:sz w:val="28"/>
          <w:szCs w:val="28"/>
        </w:rPr>
        <w:t>EAP/ESP</w:t>
      </w:r>
      <w:r w:rsidRPr="0007583F">
        <w:rPr>
          <w:rFonts w:ascii="Times New Roman" w:eastAsia="標楷體" w:hAnsi="Times New Roman" w:cs="Times New Roman"/>
          <w:sz w:val="28"/>
          <w:szCs w:val="28"/>
        </w:rPr>
        <w:t>課程銜接</w:t>
      </w:r>
      <w:r>
        <w:rPr>
          <w:rFonts w:ascii="Times New Roman" w:eastAsia="標楷體" w:hAnsi="Times New Roman" w:cs="Times New Roman" w:hint="eastAsia"/>
          <w:sz w:val="28"/>
          <w:szCs w:val="28"/>
        </w:rPr>
        <w:t>，並</w:t>
      </w:r>
      <w:r w:rsidRPr="0007583F">
        <w:rPr>
          <w:rFonts w:ascii="Times New Roman" w:eastAsia="標楷體" w:hAnsi="Times New Roman" w:cs="Times New Roman"/>
          <w:sz w:val="28"/>
          <w:szCs w:val="28"/>
        </w:rPr>
        <w:t>提供</w:t>
      </w:r>
      <w:r w:rsidRPr="0007583F">
        <w:rPr>
          <w:rFonts w:ascii="Times New Roman" w:eastAsia="標楷體" w:hAnsi="Times New Roman" w:cs="Times New Roman"/>
          <w:sz w:val="28"/>
          <w:szCs w:val="28"/>
        </w:rPr>
        <w:t>TA</w:t>
      </w:r>
      <w:r w:rsidRPr="0007583F">
        <w:rPr>
          <w:rFonts w:ascii="Times New Roman" w:eastAsia="標楷體" w:hAnsi="Times New Roman" w:cs="Times New Roman"/>
          <w:sz w:val="28"/>
          <w:szCs w:val="28"/>
        </w:rPr>
        <w:t>培訓及</w:t>
      </w:r>
      <w:r>
        <w:rPr>
          <w:rFonts w:ascii="Times New Roman" w:eastAsia="標楷體" w:hAnsi="Times New Roman" w:cs="Times New Roman" w:hint="eastAsia"/>
          <w:sz w:val="28"/>
          <w:szCs w:val="28"/>
        </w:rPr>
        <w:t>相關支持配套</w:t>
      </w:r>
      <w:r w:rsidRPr="0007583F">
        <w:rPr>
          <w:rFonts w:ascii="Times New Roman" w:eastAsia="標楷體" w:hAnsi="Times New Roman" w:cs="Times New Roman"/>
          <w:sz w:val="28"/>
          <w:szCs w:val="28"/>
        </w:rPr>
        <w:t>。</w:t>
      </w:r>
      <w:proofErr w:type="gramStart"/>
      <w:r w:rsidRPr="0007583F">
        <w:rPr>
          <w:rFonts w:ascii="Times New Roman" w:eastAsia="標楷體" w:hAnsi="Times New Roman" w:cs="Times New Roman"/>
          <w:sz w:val="28"/>
          <w:szCs w:val="28"/>
        </w:rPr>
        <w:t>此外，</w:t>
      </w:r>
      <w:proofErr w:type="gramEnd"/>
      <w:r w:rsidRPr="0007583F">
        <w:rPr>
          <w:rFonts w:ascii="Times New Roman" w:eastAsia="標楷體" w:hAnsi="Times New Roman" w:cs="Times New Roman"/>
          <w:sz w:val="28"/>
          <w:szCs w:val="28"/>
        </w:rPr>
        <w:t>為</w:t>
      </w:r>
      <w:r>
        <w:rPr>
          <w:rFonts w:ascii="Times New Roman" w:eastAsia="標楷體" w:hAnsi="Times New Roman" w:cs="Times New Roman" w:hint="eastAsia"/>
          <w:sz w:val="28"/>
          <w:szCs w:val="28"/>
        </w:rPr>
        <w:t>提升</w:t>
      </w:r>
      <w:r w:rsidRPr="0007583F">
        <w:rPr>
          <w:rFonts w:ascii="Times New Roman" w:eastAsia="標楷體" w:hAnsi="Times New Roman" w:cs="Times New Roman"/>
          <w:sz w:val="28"/>
          <w:szCs w:val="28"/>
        </w:rPr>
        <w:t>學生</w:t>
      </w:r>
      <w:r>
        <w:rPr>
          <w:rFonts w:ascii="Times New Roman" w:eastAsia="標楷體" w:hAnsi="Times New Roman" w:cs="Times New Roman" w:hint="eastAsia"/>
          <w:sz w:val="28"/>
          <w:szCs w:val="28"/>
        </w:rPr>
        <w:t>的</w:t>
      </w:r>
      <w:r w:rsidRPr="0007583F">
        <w:rPr>
          <w:rFonts w:ascii="Times New Roman" w:eastAsia="標楷體" w:hAnsi="Times New Roman" w:cs="Times New Roman"/>
          <w:sz w:val="28"/>
          <w:szCs w:val="28"/>
        </w:rPr>
        <w:t>國際</w:t>
      </w:r>
      <w:r>
        <w:rPr>
          <w:rFonts w:ascii="Times New Roman" w:eastAsia="標楷體" w:hAnsi="Times New Roman" w:cs="Times New Roman" w:hint="eastAsia"/>
          <w:sz w:val="28"/>
          <w:szCs w:val="28"/>
        </w:rPr>
        <w:t>移動</w:t>
      </w:r>
      <w:r w:rsidRPr="0007583F">
        <w:rPr>
          <w:rFonts w:ascii="Times New Roman" w:eastAsia="標楷體" w:hAnsi="Times New Roman" w:cs="Times New Roman"/>
          <w:sz w:val="28"/>
          <w:szCs w:val="28"/>
        </w:rPr>
        <w:t>力，透過與</w:t>
      </w:r>
      <w:r>
        <w:rPr>
          <w:rFonts w:ascii="Times New Roman" w:eastAsia="標楷體" w:hAnsi="Times New Roman" w:cs="Times New Roman" w:hint="eastAsia"/>
          <w:sz w:val="28"/>
          <w:szCs w:val="28"/>
        </w:rPr>
        <w:t>世界</w:t>
      </w:r>
      <w:r w:rsidRPr="0007583F">
        <w:rPr>
          <w:rFonts w:ascii="Times New Roman" w:eastAsia="標楷體" w:hAnsi="Times New Roman" w:cs="Times New Roman"/>
          <w:sz w:val="28"/>
          <w:szCs w:val="28"/>
        </w:rPr>
        <w:t>知名學術機構合作，如瑞典皇家技術學院、韓國延世大學、泰國先皇理工大學等推行</w:t>
      </w:r>
      <w:r>
        <w:rPr>
          <w:rFonts w:ascii="Times New Roman" w:eastAsia="標楷體" w:hAnsi="Times New Roman" w:cs="Times New Roman" w:hint="eastAsia"/>
          <w:sz w:val="28"/>
          <w:szCs w:val="28"/>
        </w:rPr>
        <w:t>各學制的</w:t>
      </w:r>
      <w:r w:rsidRPr="0007583F">
        <w:rPr>
          <w:rFonts w:ascii="Times New Roman" w:eastAsia="標楷體" w:hAnsi="Times New Roman" w:cs="Times New Roman"/>
          <w:sz w:val="28"/>
          <w:szCs w:val="28"/>
        </w:rPr>
        <w:t>雙聯學位、學生交換及實習計畫，提供</w:t>
      </w:r>
      <w:r>
        <w:rPr>
          <w:rFonts w:ascii="Times New Roman" w:eastAsia="標楷體" w:hAnsi="Times New Roman" w:cs="Times New Roman" w:hint="eastAsia"/>
          <w:sz w:val="28"/>
          <w:szCs w:val="28"/>
        </w:rPr>
        <w:t>接軌</w:t>
      </w:r>
      <w:r w:rsidRPr="0007583F">
        <w:rPr>
          <w:rFonts w:ascii="Times New Roman" w:eastAsia="標楷體" w:hAnsi="Times New Roman" w:cs="Times New Roman"/>
          <w:sz w:val="28"/>
          <w:szCs w:val="28"/>
        </w:rPr>
        <w:t>全球</w:t>
      </w:r>
      <w:r>
        <w:rPr>
          <w:rFonts w:ascii="Times New Roman" w:eastAsia="標楷體" w:hAnsi="Times New Roman" w:cs="Times New Roman" w:hint="eastAsia"/>
          <w:sz w:val="28"/>
          <w:szCs w:val="28"/>
        </w:rPr>
        <w:t>學習的</w:t>
      </w:r>
      <w:r w:rsidRPr="0007583F">
        <w:rPr>
          <w:rFonts w:ascii="Times New Roman" w:eastAsia="標楷體" w:hAnsi="Times New Roman" w:cs="Times New Roman"/>
          <w:sz w:val="28"/>
          <w:szCs w:val="28"/>
        </w:rPr>
        <w:t>機會</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另藉由</w:t>
      </w:r>
      <w:proofErr w:type="gramEnd"/>
      <w:r w:rsidRPr="0007583F">
        <w:rPr>
          <w:rFonts w:ascii="Times New Roman" w:eastAsia="標楷體" w:hAnsi="Times New Roman" w:cs="Times New Roman"/>
          <w:sz w:val="28"/>
          <w:szCs w:val="28"/>
        </w:rPr>
        <w:t>「</w:t>
      </w:r>
      <w:r w:rsidRPr="0007583F">
        <w:rPr>
          <w:rFonts w:ascii="Times New Roman" w:eastAsia="標楷體" w:hAnsi="Times New Roman" w:cs="Times New Roman"/>
          <w:sz w:val="28"/>
          <w:szCs w:val="28"/>
        </w:rPr>
        <w:t>CGU x Go International</w:t>
      </w:r>
      <w:r w:rsidRPr="0007583F">
        <w:rPr>
          <w:rFonts w:ascii="Times New Roman" w:eastAsia="標楷體" w:hAnsi="Times New Roman" w:cs="Times New Roman"/>
          <w:sz w:val="28"/>
          <w:szCs w:val="28"/>
        </w:rPr>
        <w:t>」與「</w:t>
      </w:r>
      <w:r w:rsidRPr="0007583F">
        <w:rPr>
          <w:rFonts w:ascii="Times New Roman" w:eastAsia="標楷體" w:hAnsi="Times New Roman" w:cs="Times New Roman"/>
          <w:sz w:val="28"/>
          <w:szCs w:val="28"/>
        </w:rPr>
        <w:t>Luncheon talk: Go abroad!</w:t>
      </w:r>
      <w:r w:rsidRPr="0007583F">
        <w:rPr>
          <w:rFonts w:ascii="Times New Roman" w:eastAsia="標楷體" w:hAnsi="Times New Roman" w:cs="Times New Roman"/>
          <w:sz w:val="28"/>
          <w:szCs w:val="28"/>
        </w:rPr>
        <w:t>」活動，</w:t>
      </w:r>
      <w:r>
        <w:rPr>
          <w:rFonts w:ascii="Times New Roman" w:eastAsia="標楷體" w:hAnsi="Times New Roman" w:cs="Times New Roman" w:hint="eastAsia"/>
          <w:sz w:val="28"/>
          <w:szCs w:val="28"/>
        </w:rPr>
        <w:t>建立</w:t>
      </w:r>
      <w:r w:rsidRPr="0007583F">
        <w:rPr>
          <w:rFonts w:ascii="Times New Roman" w:eastAsia="標楷體" w:hAnsi="Times New Roman" w:cs="Times New Roman"/>
          <w:sz w:val="28"/>
          <w:szCs w:val="28"/>
        </w:rPr>
        <w:t>本國生與境外生互動交流的平台，營造國際多元文化的學習氛圍</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增進學生跨文化溝通並拓展全球視野。</w:t>
      </w:r>
    </w:p>
    <w:p w14:paraId="1D303FB2" w14:textId="0F010689" w:rsidR="00DC2A1A" w:rsidRPr="00DC2A1A" w:rsidRDefault="00DC2A1A" w:rsidP="00DC2A1A">
      <w:pPr>
        <w:spacing w:line="420" w:lineRule="exact"/>
        <w:ind w:firstLineChars="200" w:firstLine="560"/>
        <w:jc w:val="both"/>
        <w:rPr>
          <w:rFonts w:ascii="Times New Roman" w:eastAsia="標楷體" w:hAnsi="Times New Roman" w:cs="Times New Roman"/>
          <w:sz w:val="28"/>
          <w:szCs w:val="28"/>
        </w:rPr>
      </w:pPr>
      <w:r w:rsidRPr="00DC2A1A">
        <w:rPr>
          <w:rFonts w:ascii="Times New Roman" w:eastAsia="標楷體" w:hAnsi="Times New Roman" w:cs="Times New Roman"/>
          <w:sz w:val="28"/>
          <w:szCs w:val="28"/>
        </w:rPr>
        <w:t xml:space="preserve">To promote "Teaching Innovation and Advancement," our university has established a flexible and diverse academic system, including reducing graduation credit requirements, increasing summer courses, and supporting dual majors and minors. We have also created nearly 50 interdisciplinary credit programs to develop students' interdisciplinary and digital competencies. </w:t>
      </w:r>
      <w:r>
        <w:rPr>
          <w:rFonts w:ascii="Times New Roman" w:eastAsia="標楷體" w:hAnsi="Times New Roman" w:cs="Times New Roman"/>
          <w:sz w:val="28"/>
          <w:szCs w:val="28"/>
        </w:rPr>
        <w:t>Under the guidance of the College</w:t>
      </w:r>
      <w:r w:rsidRPr="00DC2A1A">
        <w:rPr>
          <w:rFonts w:ascii="Times New Roman" w:eastAsia="標楷體" w:hAnsi="Times New Roman" w:cs="Times New Roman"/>
          <w:sz w:val="28"/>
          <w:szCs w:val="28"/>
        </w:rPr>
        <w:t xml:space="preserve"> of Intelligent Computing, we have integrated AI applications across various disciplines, developed AI and programming courses, and comprehensively enhanced students' digital literacy. The </w:t>
      </w:r>
      <w:r w:rsidR="007A0C0E">
        <w:rPr>
          <w:rFonts w:ascii="Times New Roman" w:eastAsia="標楷體" w:hAnsi="Times New Roman" w:cs="Times New Roman"/>
          <w:sz w:val="28"/>
          <w:szCs w:val="28"/>
        </w:rPr>
        <w:t xml:space="preserve">Center for </w:t>
      </w:r>
      <w:r w:rsidRPr="00DC2A1A">
        <w:rPr>
          <w:rFonts w:ascii="Times New Roman" w:eastAsia="標楷體" w:hAnsi="Times New Roman" w:cs="Times New Roman"/>
          <w:sz w:val="28"/>
          <w:szCs w:val="28"/>
        </w:rPr>
        <w:t>Clini</w:t>
      </w:r>
      <w:r w:rsidR="007A0C0E">
        <w:rPr>
          <w:rFonts w:ascii="Times New Roman" w:eastAsia="標楷體" w:hAnsi="Times New Roman" w:cs="Times New Roman"/>
          <w:sz w:val="28"/>
          <w:szCs w:val="28"/>
        </w:rPr>
        <w:t>cal Skills and Simulation</w:t>
      </w:r>
      <w:r w:rsidRPr="00DC2A1A">
        <w:rPr>
          <w:rFonts w:ascii="Times New Roman" w:eastAsia="標楷體" w:hAnsi="Times New Roman" w:cs="Times New Roman"/>
          <w:sz w:val="28"/>
          <w:szCs w:val="28"/>
        </w:rPr>
        <w:t xml:space="preserve"> offers inter-professional training and high-fidelity simulation courses, highlighting the unique characteristics of our medical professional curriculum.</w:t>
      </w:r>
      <w:r w:rsidR="007A0C0E">
        <w:rPr>
          <w:rFonts w:ascii="Times New Roman" w:eastAsia="標楷體" w:hAnsi="Times New Roman" w:cs="Times New Roman"/>
          <w:sz w:val="28"/>
          <w:szCs w:val="28"/>
        </w:rPr>
        <w:t xml:space="preserve"> In addition, w</w:t>
      </w:r>
      <w:r w:rsidRPr="00DC2A1A">
        <w:rPr>
          <w:rFonts w:ascii="Times New Roman" w:eastAsia="標楷體" w:hAnsi="Times New Roman" w:cs="Times New Roman"/>
          <w:sz w:val="28"/>
          <w:szCs w:val="28"/>
        </w:rPr>
        <w:t xml:space="preserve">e </w:t>
      </w:r>
      <w:r w:rsidR="007A0C0E">
        <w:rPr>
          <w:rFonts w:ascii="Times New Roman" w:eastAsia="標楷體" w:hAnsi="Times New Roman" w:cs="Times New Roman"/>
          <w:sz w:val="28"/>
          <w:szCs w:val="28"/>
        </w:rPr>
        <w:t xml:space="preserve">also </w:t>
      </w:r>
      <w:r w:rsidRPr="00DC2A1A">
        <w:rPr>
          <w:rFonts w:ascii="Times New Roman" w:eastAsia="標楷體" w:hAnsi="Times New Roman" w:cs="Times New Roman"/>
          <w:sz w:val="28"/>
          <w:szCs w:val="28"/>
        </w:rPr>
        <w:t>actively implement innovative teaching methods such as problem-based learning, flipped classrooms, off-campus internships, and practitioner-led courses to support students' practical skills and entrepreneurial abilities. Additionally, to strengthen students' bilingual abilities, we promote EMI (English as a Medium of Instruction) teaching programs, establish bilingual courses, and expand EAP/ESP course connections, while providing TA training and related support measures.</w:t>
      </w:r>
      <w:r w:rsidR="007A0C0E">
        <w:rPr>
          <w:rFonts w:ascii="Times New Roman" w:eastAsia="標楷體" w:hAnsi="Times New Roman" w:cs="Times New Roman"/>
          <w:sz w:val="28"/>
          <w:szCs w:val="28"/>
        </w:rPr>
        <w:t xml:space="preserve"> </w:t>
      </w:r>
      <w:r w:rsidRPr="00DC2A1A">
        <w:rPr>
          <w:rFonts w:ascii="Times New Roman" w:eastAsia="標楷體" w:hAnsi="Times New Roman" w:cs="Times New Roman"/>
          <w:sz w:val="28"/>
          <w:szCs w:val="28"/>
        </w:rPr>
        <w:t>To enhance students' international mobility, we have collaborated with globally renowned academic institutions</w:t>
      </w:r>
      <w:r w:rsidR="007A0C0E">
        <w:rPr>
          <w:rFonts w:ascii="Times New Roman" w:eastAsia="標楷體" w:hAnsi="Times New Roman" w:cs="Times New Roman"/>
          <w:sz w:val="28"/>
          <w:szCs w:val="28"/>
        </w:rPr>
        <w:t>,</w:t>
      </w:r>
      <w:r w:rsidRPr="00DC2A1A">
        <w:rPr>
          <w:rFonts w:ascii="Times New Roman" w:eastAsia="標楷體" w:hAnsi="Times New Roman" w:cs="Times New Roman"/>
          <w:sz w:val="28"/>
          <w:szCs w:val="28"/>
        </w:rPr>
        <w:t xml:space="preserve"> such as KTH Royal Institute of Technology (Sweden), Yonsei University (South Korea), and King Mongkut’s Institute of Technology Ladkrabang (Thailand) to offer dual-degree programs, student exchanges, and internship opportunities. Furthermore, activities like "CGU x Go International" and "Luncheon Talk: Go Abroad!" create platforms for interactions between domestic and international students, fostering a multicultural learning environment that enhances intercultural communication </w:t>
      </w:r>
      <w:r w:rsidRPr="00DC2A1A">
        <w:rPr>
          <w:rFonts w:ascii="Times New Roman" w:eastAsia="標楷體" w:hAnsi="Times New Roman" w:cs="Times New Roman"/>
          <w:sz w:val="28"/>
          <w:szCs w:val="28"/>
        </w:rPr>
        <w:lastRenderedPageBreak/>
        <w:t>and broadens global perspectives.</w:t>
      </w:r>
    </w:p>
    <w:p w14:paraId="7D42A62C" w14:textId="77777777" w:rsidR="001064E0" w:rsidRDefault="001064E0" w:rsidP="001064E0">
      <w:pPr>
        <w:spacing w:line="42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本校</w:t>
      </w:r>
      <w:r w:rsidRPr="0007583F">
        <w:rPr>
          <w:rFonts w:ascii="Times New Roman" w:eastAsia="標楷體" w:hAnsi="Times New Roman" w:cs="Times New Roman" w:hint="eastAsia"/>
          <w:sz w:val="28"/>
          <w:szCs w:val="28"/>
        </w:rPr>
        <w:t>112-113</w:t>
      </w:r>
      <w:r w:rsidRPr="0007583F">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經</w:t>
      </w:r>
      <w:r w:rsidRPr="0007583F">
        <w:rPr>
          <w:rFonts w:ascii="Times New Roman" w:eastAsia="標楷體" w:hAnsi="Times New Roman" w:cs="Times New Roman" w:hint="eastAsia"/>
          <w:sz w:val="28"/>
          <w:szCs w:val="28"/>
        </w:rPr>
        <w:t>教育部核定執行</w:t>
      </w:r>
      <w:r w:rsidRPr="0007583F">
        <w:rPr>
          <w:rFonts w:ascii="Times New Roman" w:eastAsia="標楷體" w:hAnsi="Times New Roman" w:cs="Times New Roman" w:hint="eastAsia"/>
          <w:sz w:val="28"/>
          <w:szCs w:val="28"/>
        </w:rPr>
        <w:t>2</w:t>
      </w:r>
      <w:r w:rsidRPr="0007583F">
        <w:rPr>
          <w:rFonts w:ascii="Times New Roman" w:eastAsia="標楷體" w:hAnsi="Times New Roman" w:cs="Times New Roman" w:hint="eastAsia"/>
          <w:sz w:val="28"/>
          <w:szCs w:val="28"/>
        </w:rPr>
        <w:t>件萌芽型及</w:t>
      </w:r>
      <w:r w:rsidRPr="0007583F">
        <w:rPr>
          <w:rFonts w:ascii="Times New Roman" w:eastAsia="標楷體" w:hAnsi="Times New Roman" w:cs="Times New Roman" w:hint="eastAsia"/>
          <w:sz w:val="28"/>
          <w:szCs w:val="28"/>
        </w:rPr>
        <w:t>1</w:t>
      </w:r>
      <w:r w:rsidRPr="0007583F">
        <w:rPr>
          <w:rFonts w:ascii="Times New Roman" w:eastAsia="標楷體" w:hAnsi="Times New Roman" w:cs="Times New Roman" w:hint="eastAsia"/>
          <w:sz w:val="28"/>
          <w:szCs w:val="28"/>
        </w:rPr>
        <w:t>件深耕型計畫獲補助</w:t>
      </w:r>
      <w:r w:rsidRPr="0007583F">
        <w:rPr>
          <w:rFonts w:ascii="Times New Roman" w:eastAsia="標楷體" w:hAnsi="Times New Roman" w:cs="Times New Roman" w:hint="eastAsia"/>
          <w:sz w:val="28"/>
          <w:szCs w:val="28"/>
        </w:rPr>
        <w:t>2,350</w:t>
      </w:r>
      <w:r w:rsidRPr="0007583F">
        <w:rPr>
          <w:rFonts w:ascii="Times New Roman" w:eastAsia="標楷體" w:hAnsi="Times New Roman" w:cs="Times New Roman" w:hint="eastAsia"/>
          <w:sz w:val="28"/>
          <w:szCs w:val="28"/>
        </w:rPr>
        <w:t>萬元，</w:t>
      </w:r>
      <w:r>
        <w:rPr>
          <w:rFonts w:ascii="Times New Roman" w:eastAsia="標楷體" w:hAnsi="Times New Roman" w:cs="Times New Roman" w:hint="eastAsia"/>
          <w:sz w:val="28"/>
          <w:szCs w:val="28"/>
        </w:rPr>
        <w:t>另投入近</w:t>
      </w:r>
      <w:r>
        <w:rPr>
          <w:rFonts w:ascii="Times New Roman" w:eastAsia="標楷體" w:hAnsi="Times New Roman" w:cs="Times New Roman" w:hint="eastAsia"/>
          <w:sz w:val="28"/>
          <w:szCs w:val="28"/>
        </w:rPr>
        <w:t>900</w:t>
      </w:r>
      <w:r>
        <w:rPr>
          <w:rFonts w:ascii="Times New Roman" w:eastAsia="標楷體" w:hAnsi="Times New Roman" w:cs="Times New Roman" w:hint="eastAsia"/>
          <w:sz w:val="28"/>
          <w:szCs w:val="28"/>
        </w:rPr>
        <w:t>萬元經費</w:t>
      </w:r>
      <w:r w:rsidRPr="0007583F">
        <w:rPr>
          <w:rFonts w:ascii="Times New Roman" w:eastAsia="標楷體" w:hAnsi="Times New Roman" w:cs="Times New Roman" w:hint="eastAsia"/>
          <w:sz w:val="28"/>
          <w:szCs w:val="28"/>
        </w:rPr>
        <w:t>扶植校內團隊</w:t>
      </w:r>
      <w:r>
        <w:rPr>
          <w:rFonts w:ascii="Times New Roman" w:eastAsia="標楷體" w:hAnsi="Times New Roman" w:cs="Times New Roman" w:hint="eastAsia"/>
          <w:sz w:val="28"/>
          <w:szCs w:val="28"/>
        </w:rPr>
        <w:t>執行</w:t>
      </w:r>
      <w:r w:rsidRPr="0007583F">
        <w:rPr>
          <w:rFonts w:ascii="Times New Roman" w:eastAsia="標楷體" w:hAnsi="Times New Roman" w:cs="Times New Roman" w:hint="eastAsia"/>
          <w:sz w:val="28"/>
          <w:szCs w:val="28"/>
        </w:rPr>
        <w:t>USR HUB</w:t>
      </w:r>
      <w:r w:rsidRPr="0007583F">
        <w:rPr>
          <w:rFonts w:ascii="Times New Roman" w:eastAsia="標楷體" w:hAnsi="Times New Roman" w:cs="Times New Roman" w:hint="eastAsia"/>
          <w:sz w:val="28"/>
          <w:szCs w:val="28"/>
        </w:rPr>
        <w:t>計畫</w:t>
      </w:r>
      <w:r>
        <w:rPr>
          <w:rFonts w:ascii="Times New Roman" w:eastAsia="標楷體" w:hAnsi="Times New Roman" w:cs="Times New Roman" w:hint="eastAsia"/>
          <w:sz w:val="28"/>
          <w:szCs w:val="28"/>
        </w:rPr>
        <w:t>，</w:t>
      </w:r>
      <w:r w:rsidRPr="0007583F">
        <w:rPr>
          <w:rFonts w:ascii="Times New Roman" w:eastAsia="標楷體" w:hAnsi="Times New Roman" w:cs="Times New Roman" w:hint="eastAsia"/>
          <w:sz w:val="28"/>
          <w:szCs w:val="28"/>
        </w:rPr>
        <w:t>整合資源投入復興區、龜山區、林口區及桃園區</w:t>
      </w:r>
      <w:r>
        <w:rPr>
          <w:rFonts w:ascii="Times New Roman" w:eastAsia="標楷體" w:hAnsi="Times New Roman" w:cs="Times New Roman" w:hint="eastAsia"/>
          <w:sz w:val="28"/>
          <w:szCs w:val="28"/>
        </w:rPr>
        <w:t>等地，</w:t>
      </w:r>
      <w:r w:rsidRPr="0007583F">
        <w:rPr>
          <w:rFonts w:ascii="Times New Roman" w:eastAsia="標楷體" w:hAnsi="Times New Roman" w:cs="Times New Roman" w:hint="eastAsia"/>
          <w:sz w:val="28"/>
          <w:szCs w:val="28"/>
        </w:rPr>
        <w:t>落實</w:t>
      </w:r>
      <w:r w:rsidRPr="00C14F3D">
        <w:rPr>
          <w:rFonts w:ascii="Times New Roman" w:eastAsia="標楷體" w:hAnsi="Times New Roman" w:cs="Times New Roman"/>
          <w:b/>
          <w:bCs/>
          <w:sz w:val="28"/>
          <w:szCs w:val="28"/>
        </w:rPr>
        <w:t>「善盡社會責任」</w:t>
      </w:r>
      <w:r>
        <w:rPr>
          <w:rFonts w:ascii="Times New Roman" w:eastAsia="標楷體" w:hAnsi="Times New Roman" w:cs="Times New Roman" w:hint="eastAsia"/>
          <w:sz w:val="28"/>
          <w:szCs w:val="28"/>
        </w:rPr>
        <w:t>。藉由</w:t>
      </w:r>
      <w:r w:rsidRPr="0007583F">
        <w:rPr>
          <w:rFonts w:ascii="Times New Roman" w:eastAsia="標楷體" w:hAnsi="Times New Roman" w:cs="Times New Roman" w:hint="eastAsia"/>
          <w:sz w:val="28"/>
          <w:szCs w:val="28"/>
        </w:rPr>
        <w:t>師生持續深耕原鄉與在地發展，</w:t>
      </w:r>
      <w:r>
        <w:rPr>
          <w:rFonts w:ascii="Times New Roman" w:eastAsia="標楷體" w:hAnsi="Times New Roman" w:cs="Times New Roman" w:hint="eastAsia"/>
          <w:sz w:val="28"/>
          <w:szCs w:val="28"/>
        </w:rPr>
        <w:t>以</w:t>
      </w:r>
      <w:r w:rsidRPr="0007583F">
        <w:rPr>
          <w:rFonts w:ascii="Times New Roman" w:eastAsia="標楷體" w:hAnsi="Times New Roman" w:cs="Times New Roman" w:hint="eastAsia"/>
          <w:sz w:val="28"/>
          <w:szCs w:val="28"/>
        </w:rPr>
        <w:t>健康照護模式回饋社會，在文化及產業中，將在地農業與酒廠結合製</w:t>
      </w:r>
      <w:proofErr w:type="gramStart"/>
      <w:r w:rsidRPr="0007583F">
        <w:rPr>
          <w:rFonts w:ascii="Times New Roman" w:eastAsia="標楷體" w:hAnsi="Times New Roman" w:cs="Times New Roman" w:hint="eastAsia"/>
          <w:sz w:val="28"/>
          <w:szCs w:val="28"/>
        </w:rPr>
        <w:t>出楓禾</w:t>
      </w:r>
      <w:proofErr w:type="gramEnd"/>
      <w:r w:rsidRPr="0007583F">
        <w:rPr>
          <w:rFonts w:ascii="Times New Roman" w:eastAsia="標楷體" w:hAnsi="Times New Roman" w:cs="Times New Roman" w:hint="eastAsia"/>
          <w:sz w:val="28"/>
          <w:szCs w:val="28"/>
        </w:rPr>
        <w:t>啤酒與</w:t>
      </w:r>
      <w:r w:rsidRPr="0007583F">
        <w:rPr>
          <w:rFonts w:ascii="Times New Roman" w:eastAsia="標楷體" w:hAnsi="Times New Roman" w:cs="Times New Roman" w:hint="eastAsia"/>
          <w:sz w:val="28"/>
          <w:szCs w:val="28"/>
        </w:rPr>
        <w:t>333</w:t>
      </w:r>
      <w:r w:rsidRPr="0007583F">
        <w:rPr>
          <w:rFonts w:ascii="Times New Roman" w:eastAsia="標楷體" w:hAnsi="Times New Roman" w:cs="Times New Roman" w:hint="eastAsia"/>
          <w:sz w:val="28"/>
          <w:szCs w:val="28"/>
        </w:rPr>
        <w:t>茶酒，增加產業附加價值</w:t>
      </w:r>
      <w:r>
        <w:rPr>
          <w:rFonts w:ascii="Times New Roman" w:eastAsia="標楷體" w:hAnsi="Times New Roman" w:cs="Times New Roman" w:hint="eastAsia"/>
          <w:sz w:val="28"/>
          <w:szCs w:val="28"/>
        </w:rPr>
        <w:t>；並</w:t>
      </w:r>
      <w:proofErr w:type="gramStart"/>
      <w:r w:rsidRPr="0007583F">
        <w:rPr>
          <w:rFonts w:ascii="Times New Roman" w:eastAsia="標楷體" w:hAnsi="Times New Roman" w:cs="Times New Roman" w:hint="eastAsia"/>
          <w:sz w:val="28"/>
          <w:szCs w:val="28"/>
        </w:rPr>
        <w:t>與精障及</w:t>
      </w:r>
      <w:proofErr w:type="gramEnd"/>
      <w:r w:rsidRPr="0007583F">
        <w:rPr>
          <w:rFonts w:ascii="Times New Roman" w:eastAsia="標楷體" w:hAnsi="Times New Roman" w:cs="Times New Roman" w:hint="eastAsia"/>
          <w:sz w:val="28"/>
          <w:szCs w:val="28"/>
        </w:rPr>
        <w:t>自閉兒團體合作，協助病友重回社會，舉辦「</w:t>
      </w:r>
      <w:r w:rsidRPr="0007583F">
        <w:rPr>
          <w:rFonts w:ascii="Times New Roman" w:eastAsia="標楷體" w:hAnsi="Times New Roman" w:cs="Times New Roman" w:hint="eastAsia"/>
          <w:sz w:val="28"/>
          <w:szCs w:val="28"/>
        </w:rPr>
        <w:t>USR</w:t>
      </w:r>
      <w:r w:rsidRPr="0007583F">
        <w:rPr>
          <w:rFonts w:ascii="Times New Roman" w:eastAsia="標楷體" w:hAnsi="Times New Roman" w:cs="Times New Roman" w:hint="eastAsia"/>
          <w:sz w:val="28"/>
          <w:szCs w:val="28"/>
        </w:rPr>
        <w:t>友善市集」</w:t>
      </w:r>
      <w:r>
        <w:rPr>
          <w:rFonts w:ascii="Times New Roman" w:eastAsia="標楷體" w:hAnsi="Times New Roman" w:cs="Times New Roman" w:hint="eastAsia"/>
          <w:sz w:val="28"/>
          <w:szCs w:val="28"/>
        </w:rPr>
        <w:t>幫助</w:t>
      </w:r>
      <w:r w:rsidRPr="0007583F">
        <w:rPr>
          <w:rFonts w:ascii="Times New Roman" w:eastAsia="標楷體" w:hAnsi="Times New Roman" w:cs="Times New Roman" w:hint="eastAsia"/>
          <w:sz w:val="28"/>
          <w:szCs w:val="28"/>
        </w:rPr>
        <w:t>民眾</w:t>
      </w:r>
      <w:r>
        <w:rPr>
          <w:rFonts w:ascii="Times New Roman" w:eastAsia="標楷體" w:hAnsi="Times New Roman" w:cs="Times New Roman" w:hint="eastAsia"/>
          <w:sz w:val="28"/>
          <w:szCs w:val="28"/>
        </w:rPr>
        <w:t>認識</w:t>
      </w:r>
      <w:r w:rsidRPr="0007583F">
        <w:rPr>
          <w:rFonts w:ascii="Times New Roman" w:eastAsia="標楷體" w:hAnsi="Times New Roman" w:cs="Times New Roman" w:hint="eastAsia"/>
          <w:sz w:val="28"/>
          <w:szCs w:val="28"/>
        </w:rPr>
        <w:t>精神疾患，協助弱勢者與社區共融。</w:t>
      </w:r>
    </w:p>
    <w:p w14:paraId="165F8282" w14:textId="16A1F4D0" w:rsidR="007A0C0E" w:rsidRPr="007A0C0E" w:rsidRDefault="007A0C0E" w:rsidP="007A0C0E">
      <w:pPr>
        <w:spacing w:line="420" w:lineRule="exact"/>
        <w:ind w:firstLineChars="200" w:firstLine="560"/>
        <w:jc w:val="both"/>
        <w:rPr>
          <w:rFonts w:ascii="Times New Roman" w:eastAsia="標楷體" w:hAnsi="Times New Roman" w:cs="Times New Roman"/>
          <w:sz w:val="28"/>
          <w:szCs w:val="28"/>
        </w:rPr>
      </w:pPr>
      <w:r w:rsidRPr="007A0C0E">
        <w:rPr>
          <w:rFonts w:ascii="Times New Roman" w:eastAsia="標楷體" w:hAnsi="Times New Roman" w:cs="Times New Roman"/>
          <w:sz w:val="28"/>
          <w:szCs w:val="28"/>
        </w:rPr>
        <w:t>From 2023 to 2024, our university received MOE approval to execute two budd</w:t>
      </w:r>
      <w:r w:rsidR="00716A23">
        <w:rPr>
          <w:rFonts w:ascii="Times New Roman" w:eastAsia="標楷體" w:hAnsi="Times New Roman" w:cs="Times New Roman"/>
          <w:sz w:val="28"/>
          <w:szCs w:val="28"/>
        </w:rPr>
        <w:t>ing projects and one higher education sprout</w:t>
      </w:r>
      <w:r w:rsidRPr="007A0C0E">
        <w:rPr>
          <w:rFonts w:ascii="Times New Roman" w:eastAsia="標楷體" w:hAnsi="Times New Roman" w:cs="Times New Roman"/>
          <w:sz w:val="28"/>
          <w:szCs w:val="28"/>
        </w:rPr>
        <w:t xml:space="preserve"> project, receiving a total of NT</w:t>
      </w:r>
      <w:r w:rsidR="00716A23">
        <w:rPr>
          <w:rFonts w:ascii="Times New Roman" w:eastAsia="標楷體" w:hAnsi="Times New Roman" w:cs="Times New Roman"/>
          <w:sz w:val="28"/>
          <w:szCs w:val="28"/>
        </w:rPr>
        <w:t>D</w:t>
      </w:r>
      <w:r w:rsidRPr="007A0C0E">
        <w:rPr>
          <w:rFonts w:ascii="Times New Roman" w:eastAsia="標楷體" w:hAnsi="Times New Roman" w:cs="Times New Roman"/>
          <w:sz w:val="28"/>
          <w:szCs w:val="28"/>
        </w:rPr>
        <w:t>$23.5 million in subsidies. We also invested nearly NT</w:t>
      </w:r>
      <w:r w:rsidR="00716A23">
        <w:rPr>
          <w:rFonts w:ascii="Times New Roman" w:eastAsia="標楷體" w:hAnsi="Times New Roman" w:cs="Times New Roman"/>
          <w:sz w:val="28"/>
          <w:szCs w:val="28"/>
        </w:rPr>
        <w:t>D</w:t>
      </w:r>
      <w:r w:rsidRPr="007A0C0E">
        <w:rPr>
          <w:rFonts w:ascii="Times New Roman" w:eastAsia="標楷體" w:hAnsi="Times New Roman" w:cs="Times New Roman"/>
          <w:sz w:val="28"/>
          <w:szCs w:val="28"/>
        </w:rPr>
        <w:t xml:space="preserve">$9 million to support on-campus teams executing the USR HUB project, which integrates resources to serve </w:t>
      </w:r>
      <w:proofErr w:type="spellStart"/>
      <w:r w:rsidRPr="007A0C0E">
        <w:rPr>
          <w:rFonts w:ascii="Times New Roman" w:eastAsia="標楷體" w:hAnsi="Times New Roman" w:cs="Times New Roman"/>
          <w:sz w:val="28"/>
          <w:szCs w:val="28"/>
        </w:rPr>
        <w:t>Fuxing</w:t>
      </w:r>
      <w:proofErr w:type="spellEnd"/>
      <w:r w:rsidRPr="007A0C0E">
        <w:rPr>
          <w:rFonts w:ascii="Times New Roman" w:eastAsia="標楷體" w:hAnsi="Times New Roman" w:cs="Times New Roman"/>
          <w:sz w:val="28"/>
          <w:szCs w:val="28"/>
        </w:rPr>
        <w:t xml:space="preserve">, </w:t>
      </w:r>
      <w:proofErr w:type="spellStart"/>
      <w:r w:rsidRPr="007A0C0E">
        <w:rPr>
          <w:rFonts w:ascii="Times New Roman" w:eastAsia="標楷體" w:hAnsi="Times New Roman" w:cs="Times New Roman"/>
          <w:sz w:val="28"/>
          <w:szCs w:val="28"/>
        </w:rPr>
        <w:t>Guishan</w:t>
      </w:r>
      <w:proofErr w:type="spellEnd"/>
      <w:r w:rsidRPr="007A0C0E">
        <w:rPr>
          <w:rFonts w:ascii="Times New Roman" w:eastAsia="標楷體" w:hAnsi="Times New Roman" w:cs="Times New Roman"/>
          <w:sz w:val="28"/>
          <w:szCs w:val="28"/>
        </w:rPr>
        <w:t xml:space="preserve">, </w:t>
      </w:r>
      <w:proofErr w:type="spellStart"/>
      <w:r w:rsidRPr="007A0C0E">
        <w:rPr>
          <w:rFonts w:ascii="Times New Roman" w:eastAsia="標楷體" w:hAnsi="Times New Roman" w:cs="Times New Roman"/>
          <w:sz w:val="28"/>
          <w:szCs w:val="28"/>
        </w:rPr>
        <w:t>Linkou</w:t>
      </w:r>
      <w:proofErr w:type="spellEnd"/>
      <w:r w:rsidRPr="007A0C0E">
        <w:rPr>
          <w:rFonts w:ascii="Times New Roman" w:eastAsia="標楷體" w:hAnsi="Times New Roman" w:cs="Times New Roman"/>
          <w:sz w:val="28"/>
          <w:szCs w:val="28"/>
        </w:rPr>
        <w:t>, and Taoyuan districts, fulfilling our social responsibility. Through sustained faculty-student efforts in indigenous and local development, we have adopted a health care model to give back to society. In cultural and industrial domains, we collaborated with local agriculture and breweries to create Maple Harvest Beer and 333 Tea Liquor, adding value to industries. Additionally, we partnered with groups supporting the mentally disabled and autistic children to help patients reintegrate into society and hosted "USR Friendly Markets" to raise public awareness of mental illnesses, promoting inclusivity for the disadvantaged within communities.</w:t>
      </w:r>
    </w:p>
    <w:p w14:paraId="00EDD196" w14:textId="77777777" w:rsidR="001064E0" w:rsidRDefault="001064E0" w:rsidP="001064E0">
      <w:pPr>
        <w:spacing w:line="420" w:lineRule="exact"/>
        <w:ind w:firstLineChars="200" w:firstLine="561"/>
        <w:jc w:val="both"/>
        <w:rPr>
          <w:rFonts w:ascii="Times New Roman" w:eastAsia="標楷體" w:hAnsi="Times New Roman" w:cs="Times New Roman"/>
          <w:sz w:val="28"/>
          <w:szCs w:val="28"/>
        </w:rPr>
      </w:pPr>
      <w:r w:rsidRPr="00C14F3D">
        <w:rPr>
          <w:rFonts w:ascii="Times New Roman" w:eastAsia="標楷體" w:hAnsi="Times New Roman" w:cs="Times New Roman"/>
          <w:b/>
          <w:bCs/>
          <w:sz w:val="28"/>
          <w:szCs w:val="28"/>
        </w:rPr>
        <w:t>「產學合作連結」</w:t>
      </w:r>
      <w:r w:rsidRPr="00C14F3D">
        <w:rPr>
          <w:rFonts w:ascii="Times New Roman" w:eastAsia="標楷體" w:hAnsi="Times New Roman" w:cs="Times New Roman" w:hint="eastAsia"/>
          <w:sz w:val="28"/>
          <w:szCs w:val="28"/>
        </w:rPr>
        <w:t>方面</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本校</w:t>
      </w:r>
      <w:r>
        <w:rPr>
          <w:rFonts w:ascii="Times New Roman" w:eastAsia="標楷體" w:hAnsi="Times New Roman" w:cs="Times New Roman" w:hint="eastAsia"/>
          <w:sz w:val="28"/>
          <w:szCs w:val="28"/>
        </w:rPr>
        <w:t>藉由不同的</w:t>
      </w:r>
      <w:r w:rsidRPr="0007583F">
        <w:rPr>
          <w:rFonts w:ascii="Times New Roman" w:eastAsia="標楷體" w:hAnsi="Times New Roman" w:cs="Times New Roman"/>
          <w:sz w:val="28"/>
          <w:szCs w:val="28"/>
        </w:rPr>
        <w:t>研究中心</w:t>
      </w:r>
      <w:r>
        <w:rPr>
          <w:rFonts w:ascii="Times New Roman" w:eastAsia="標楷體" w:hAnsi="Times New Roman" w:cs="Times New Roman" w:hint="eastAsia"/>
          <w:sz w:val="28"/>
          <w:szCs w:val="28"/>
        </w:rPr>
        <w:t>分別</w:t>
      </w:r>
      <w:r w:rsidRPr="0007583F">
        <w:rPr>
          <w:rFonts w:ascii="Times New Roman" w:eastAsia="標楷體" w:hAnsi="Times New Roman" w:cs="Times New Roman"/>
          <w:sz w:val="28"/>
          <w:szCs w:val="28"/>
        </w:rPr>
        <w:t>加入</w:t>
      </w:r>
      <w:r w:rsidRPr="0007583F">
        <w:rPr>
          <w:rFonts w:ascii="Times New Roman" w:eastAsia="標楷體" w:hAnsi="Times New Roman" w:cs="Times New Roman"/>
          <w:sz w:val="28"/>
          <w:szCs w:val="28"/>
        </w:rPr>
        <w:t>Cancer Moonshot</w:t>
      </w:r>
      <w:r w:rsidRPr="0007583F">
        <w:rPr>
          <w:rFonts w:ascii="Times New Roman" w:eastAsia="標楷體" w:hAnsi="Times New Roman" w:cs="Times New Roman"/>
          <w:sz w:val="28"/>
          <w:szCs w:val="28"/>
        </w:rPr>
        <w:t>進行癌症防治、參與</w:t>
      </w:r>
      <w:r w:rsidRPr="0007583F">
        <w:rPr>
          <w:rFonts w:ascii="Times New Roman" w:eastAsia="標楷體" w:hAnsi="Times New Roman" w:cs="Times New Roman"/>
          <w:sz w:val="28"/>
          <w:szCs w:val="28"/>
        </w:rPr>
        <w:t>CREID</w:t>
      </w:r>
      <w:r w:rsidRPr="0007583F">
        <w:rPr>
          <w:rFonts w:ascii="Times New Roman" w:eastAsia="標楷體" w:hAnsi="Times New Roman" w:cs="Times New Roman"/>
          <w:sz w:val="28"/>
          <w:szCs w:val="28"/>
        </w:rPr>
        <w:t>對抗新興病毒</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與南加大</w:t>
      </w:r>
      <w:proofErr w:type="gramStart"/>
      <w:r w:rsidRPr="0007583F">
        <w:rPr>
          <w:rFonts w:ascii="Times New Roman" w:eastAsia="標楷體" w:hAnsi="Times New Roman" w:cs="Times New Roman"/>
          <w:sz w:val="28"/>
          <w:szCs w:val="28"/>
        </w:rPr>
        <w:t>合作為帕金</w:t>
      </w:r>
      <w:proofErr w:type="gramEnd"/>
      <w:r w:rsidRPr="0007583F">
        <w:rPr>
          <w:rFonts w:ascii="Times New Roman" w:eastAsia="標楷體" w:hAnsi="Times New Roman" w:cs="Times New Roman"/>
          <w:sz w:val="28"/>
          <w:szCs w:val="28"/>
        </w:rPr>
        <w:t>森氏症全球倡議</w:t>
      </w:r>
      <w:r>
        <w:rPr>
          <w:rFonts w:ascii="Times New Roman" w:eastAsia="標楷體" w:hAnsi="Times New Roman" w:cs="Times New Roman" w:hint="eastAsia"/>
          <w:sz w:val="28"/>
          <w:szCs w:val="28"/>
        </w:rPr>
        <w:t>等，並</w:t>
      </w:r>
      <w:r w:rsidRPr="0007583F">
        <w:rPr>
          <w:rFonts w:ascii="Times New Roman" w:eastAsia="標楷體" w:hAnsi="Times New Roman" w:cs="Times New Roman"/>
          <w:sz w:val="28"/>
          <w:szCs w:val="28"/>
        </w:rPr>
        <w:t>禮聘</w:t>
      </w:r>
      <w:r>
        <w:rPr>
          <w:rFonts w:ascii="Times New Roman" w:eastAsia="標楷體" w:hAnsi="Times New Roman" w:cs="Times New Roman" w:hint="eastAsia"/>
          <w:sz w:val="28"/>
          <w:szCs w:val="28"/>
        </w:rPr>
        <w:t>歐洲科學院</w:t>
      </w:r>
      <w:proofErr w:type="spellStart"/>
      <w:r w:rsidRPr="0007583F">
        <w:rPr>
          <w:rFonts w:ascii="Times New Roman" w:eastAsia="標楷體" w:hAnsi="Times New Roman" w:cs="Times New Roman"/>
          <w:sz w:val="28"/>
          <w:szCs w:val="28"/>
        </w:rPr>
        <w:t>Siamon</w:t>
      </w:r>
      <w:proofErr w:type="spellEnd"/>
      <w:r w:rsidRPr="0007583F">
        <w:rPr>
          <w:rFonts w:ascii="Times New Roman" w:eastAsia="標楷體" w:hAnsi="Times New Roman" w:cs="Times New Roman"/>
          <w:sz w:val="28"/>
          <w:szCs w:val="28"/>
        </w:rPr>
        <w:t xml:space="preserve"> Gordon</w:t>
      </w:r>
      <w:r>
        <w:rPr>
          <w:rFonts w:ascii="Times New Roman" w:eastAsia="標楷體" w:hAnsi="Times New Roman" w:cs="Times New Roman" w:hint="eastAsia"/>
          <w:sz w:val="28"/>
          <w:szCs w:val="28"/>
        </w:rPr>
        <w:t>院士</w:t>
      </w:r>
      <w:r w:rsidRPr="0007583F">
        <w:rPr>
          <w:rFonts w:ascii="Times New Roman" w:eastAsia="標楷體" w:hAnsi="Times New Roman" w:cs="Times New Roman"/>
          <w:sz w:val="28"/>
          <w:szCs w:val="28"/>
        </w:rPr>
        <w:t>、</w:t>
      </w:r>
      <w:r>
        <w:rPr>
          <w:rFonts w:ascii="Times New Roman" w:eastAsia="標楷體" w:hAnsi="Times New Roman" w:cs="Times New Roman" w:hint="eastAsia"/>
          <w:sz w:val="28"/>
          <w:szCs w:val="28"/>
        </w:rPr>
        <w:t>中研院</w:t>
      </w:r>
      <w:r w:rsidRPr="0007583F">
        <w:rPr>
          <w:rFonts w:ascii="Times New Roman" w:eastAsia="標楷體" w:hAnsi="Times New Roman" w:cs="Times New Roman"/>
          <w:sz w:val="28"/>
          <w:szCs w:val="28"/>
        </w:rPr>
        <w:t>吳子丑</w:t>
      </w:r>
      <w:r>
        <w:rPr>
          <w:rFonts w:ascii="Times New Roman" w:eastAsia="標楷體" w:hAnsi="Times New Roman" w:cs="Times New Roman" w:hint="eastAsia"/>
          <w:sz w:val="28"/>
          <w:szCs w:val="28"/>
        </w:rPr>
        <w:t>院士</w:t>
      </w:r>
      <w:r w:rsidRPr="0007583F">
        <w:rPr>
          <w:rFonts w:ascii="Times New Roman" w:eastAsia="標楷體" w:hAnsi="Times New Roman" w:cs="Times New Roman"/>
          <w:sz w:val="28"/>
          <w:szCs w:val="28"/>
        </w:rPr>
        <w:t>及</w:t>
      </w:r>
      <w:r w:rsidRPr="00D02FC7">
        <w:rPr>
          <w:rFonts w:ascii="Times New Roman" w:eastAsia="標楷體" w:hAnsi="Times New Roman" w:cs="Times New Roman" w:hint="eastAsia"/>
          <w:sz w:val="28"/>
          <w:szCs w:val="28"/>
        </w:rPr>
        <w:t>約翰霍普金斯大學</w:t>
      </w:r>
      <w:r w:rsidRPr="0007583F">
        <w:rPr>
          <w:rFonts w:ascii="Times New Roman" w:eastAsia="標楷體" w:hAnsi="Times New Roman" w:cs="Times New Roman"/>
          <w:sz w:val="28"/>
          <w:szCs w:val="28"/>
        </w:rPr>
        <w:t>施益民教授</w:t>
      </w:r>
      <w:r>
        <w:rPr>
          <w:rFonts w:ascii="Times New Roman" w:eastAsia="標楷體" w:hAnsi="Times New Roman" w:cs="Times New Roman" w:hint="eastAsia"/>
          <w:sz w:val="28"/>
          <w:szCs w:val="28"/>
        </w:rPr>
        <w:t>等國際知名學者</w:t>
      </w:r>
      <w:r w:rsidRPr="0007583F">
        <w:rPr>
          <w:rFonts w:ascii="Times New Roman" w:eastAsia="標楷體" w:hAnsi="Times New Roman" w:cs="Times New Roman"/>
          <w:sz w:val="28"/>
          <w:szCs w:val="28"/>
        </w:rPr>
        <w:t>指導免疫及轉譯醫學研究</w:t>
      </w:r>
      <w:r>
        <w:rPr>
          <w:rFonts w:ascii="Times New Roman" w:eastAsia="標楷體" w:hAnsi="Times New Roman" w:cs="Times New Roman" w:hint="eastAsia"/>
          <w:sz w:val="28"/>
          <w:szCs w:val="28"/>
        </w:rPr>
        <w:t>發展。本校於</w:t>
      </w:r>
      <w:r w:rsidRPr="0007583F">
        <w:rPr>
          <w:rFonts w:ascii="Times New Roman" w:eastAsia="標楷體" w:hAnsi="Times New Roman" w:cs="Times New Roman"/>
          <w:sz w:val="28"/>
          <w:szCs w:val="28"/>
        </w:rPr>
        <w:t>荷蘭</w:t>
      </w:r>
      <w:r w:rsidRPr="0007583F">
        <w:rPr>
          <w:rFonts w:ascii="Times New Roman" w:eastAsia="標楷體" w:hAnsi="Times New Roman" w:cs="Times New Roman"/>
          <w:sz w:val="28"/>
          <w:szCs w:val="28"/>
        </w:rPr>
        <w:t>CWTS</w:t>
      </w:r>
      <w:r w:rsidRPr="0007583F">
        <w:rPr>
          <w:rFonts w:ascii="Times New Roman" w:eastAsia="標楷體" w:hAnsi="Times New Roman" w:cs="Times New Roman"/>
          <w:sz w:val="28"/>
          <w:szCs w:val="28"/>
        </w:rPr>
        <w:t>世界大學「科學影響力」排行榜名列全球</w:t>
      </w:r>
      <w:r w:rsidRPr="0007583F">
        <w:rPr>
          <w:rFonts w:ascii="Times New Roman" w:eastAsia="標楷體" w:hAnsi="Times New Roman" w:cs="Times New Roman"/>
          <w:sz w:val="28"/>
          <w:szCs w:val="28"/>
        </w:rPr>
        <w:t>237</w:t>
      </w:r>
      <w:r w:rsidRPr="0007583F">
        <w:rPr>
          <w:rFonts w:ascii="Times New Roman" w:eastAsia="標楷體" w:hAnsi="Times New Roman" w:cs="Times New Roman"/>
          <w:sz w:val="28"/>
          <w:szCs w:val="28"/>
        </w:rPr>
        <w:t>名，全國第</w:t>
      </w:r>
      <w:r w:rsidRPr="0007583F">
        <w:rPr>
          <w:rFonts w:ascii="Times New Roman" w:eastAsia="標楷體" w:hAnsi="Times New Roman" w:cs="Times New Roman"/>
          <w:sz w:val="28"/>
          <w:szCs w:val="28"/>
        </w:rPr>
        <w:t>3</w:t>
      </w:r>
      <w:r w:rsidRPr="0007583F">
        <w:rPr>
          <w:rFonts w:ascii="Times New Roman" w:eastAsia="標楷體" w:hAnsi="Times New Roman" w:cs="Times New Roman"/>
          <w:sz w:val="28"/>
          <w:szCs w:val="28"/>
        </w:rPr>
        <w:t>，僅次於台灣大學、陽明交通大學，其中在「生</w:t>
      </w:r>
      <w:proofErr w:type="gramStart"/>
      <w:r w:rsidRPr="0007583F">
        <w:rPr>
          <w:rFonts w:ascii="Times New Roman" w:eastAsia="標楷體" w:hAnsi="Times New Roman" w:cs="Times New Roman"/>
          <w:sz w:val="28"/>
          <w:szCs w:val="28"/>
        </w:rPr>
        <w:t>醫</w:t>
      </w:r>
      <w:proofErr w:type="gramEnd"/>
      <w:r w:rsidRPr="0007583F">
        <w:rPr>
          <w:rFonts w:ascii="Times New Roman" w:eastAsia="標楷體" w:hAnsi="Times New Roman" w:cs="Times New Roman"/>
          <w:sz w:val="28"/>
          <w:szCs w:val="28"/>
        </w:rPr>
        <w:t>與健康科學領域」世界第</w:t>
      </w:r>
      <w:r w:rsidRPr="0007583F">
        <w:rPr>
          <w:rFonts w:ascii="Times New Roman" w:eastAsia="標楷體" w:hAnsi="Times New Roman" w:cs="Times New Roman"/>
          <w:sz w:val="28"/>
          <w:szCs w:val="28"/>
        </w:rPr>
        <w:t>79</w:t>
      </w:r>
      <w:r w:rsidRPr="0007583F">
        <w:rPr>
          <w:rFonts w:ascii="Times New Roman" w:eastAsia="標楷體" w:hAnsi="Times New Roman" w:cs="Times New Roman"/>
          <w:sz w:val="28"/>
          <w:szCs w:val="28"/>
        </w:rPr>
        <w:t>名，位居全國第</w:t>
      </w:r>
      <w:r w:rsidRPr="0007583F">
        <w:rPr>
          <w:rFonts w:ascii="Times New Roman" w:eastAsia="標楷體" w:hAnsi="Times New Roman" w:cs="Times New Roman"/>
          <w:sz w:val="28"/>
          <w:szCs w:val="28"/>
        </w:rPr>
        <w:t>1</w:t>
      </w:r>
      <w:r w:rsidRPr="0007583F">
        <w:rPr>
          <w:rFonts w:ascii="Times New Roman" w:eastAsia="標楷體" w:hAnsi="Times New Roman" w:cs="Times New Roman"/>
          <w:sz w:val="28"/>
          <w:szCs w:val="28"/>
        </w:rPr>
        <w:t>；</w:t>
      </w:r>
      <w:r>
        <w:rPr>
          <w:rFonts w:ascii="Times New Roman" w:eastAsia="標楷體" w:hAnsi="Times New Roman" w:cs="Times New Roman" w:hint="eastAsia"/>
          <w:sz w:val="28"/>
          <w:szCs w:val="28"/>
        </w:rPr>
        <w:t>本校</w:t>
      </w:r>
      <w:r w:rsidRPr="0007583F">
        <w:rPr>
          <w:rFonts w:ascii="Times New Roman" w:eastAsia="標楷體" w:hAnsi="Times New Roman" w:cs="Times New Roman" w:hint="eastAsia"/>
          <w:sz w:val="28"/>
          <w:szCs w:val="28"/>
        </w:rPr>
        <w:t>112</w:t>
      </w:r>
      <w:r w:rsidRPr="0007583F">
        <w:rPr>
          <w:rFonts w:ascii="Times New Roman" w:eastAsia="標楷體" w:hAnsi="Times New Roman" w:cs="Times New Roman" w:hint="eastAsia"/>
          <w:sz w:val="28"/>
          <w:szCs w:val="28"/>
        </w:rPr>
        <w:t>至</w:t>
      </w:r>
      <w:r w:rsidRPr="0007583F">
        <w:rPr>
          <w:rFonts w:ascii="Times New Roman" w:eastAsia="標楷體" w:hAnsi="Times New Roman" w:cs="Times New Roman" w:hint="eastAsia"/>
          <w:sz w:val="28"/>
          <w:szCs w:val="28"/>
        </w:rPr>
        <w:t>113</w:t>
      </w:r>
      <w:r w:rsidRPr="0007583F">
        <w:rPr>
          <w:rFonts w:ascii="Times New Roman" w:eastAsia="標楷體" w:hAnsi="Times New Roman" w:cs="Times New Roman" w:hint="eastAsia"/>
          <w:sz w:val="28"/>
          <w:szCs w:val="28"/>
        </w:rPr>
        <w:t>年產學績效豐碩，</w:t>
      </w:r>
      <w:proofErr w:type="gramStart"/>
      <w:r w:rsidRPr="0007583F">
        <w:rPr>
          <w:rFonts w:ascii="Times New Roman" w:eastAsia="標楷體" w:hAnsi="Times New Roman" w:cs="Times New Roman" w:hint="eastAsia"/>
          <w:sz w:val="28"/>
          <w:szCs w:val="28"/>
        </w:rPr>
        <w:t>技轉逾</w:t>
      </w:r>
      <w:r w:rsidRPr="0007583F">
        <w:rPr>
          <w:rFonts w:ascii="Times New Roman" w:eastAsia="標楷體" w:hAnsi="Times New Roman" w:cs="Times New Roman" w:hint="eastAsia"/>
          <w:sz w:val="28"/>
          <w:szCs w:val="28"/>
        </w:rPr>
        <w:t>3.6</w:t>
      </w:r>
      <w:r w:rsidRPr="0007583F">
        <w:rPr>
          <w:rFonts w:ascii="Times New Roman" w:eastAsia="標楷體" w:hAnsi="Times New Roman" w:cs="Times New Roman" w:hint="eastAsia"/>
          <w:sz w:val="28"/>
          <w:szCs w:val="28"/>
        </w:rPr>
        <w:t>億元</w:t>
      </w:r>
      <w:proofErr w:type="gramEnd"/>
      <w:r w:rsidRPr="0007583F">
        <w:rPr>
          <w:rFonts w:ascii="Times New Roman" w:eastAsia="標楷體" w:hAnsi="Times New Roman" w:cs="Times New Roman" w:hint="eastAsia"/>
          <w:sz w:val="28"/>
          <w:szCs w:val="28"/>
        </w:rPr>
        <w:t>，產學計畫達</w:t>
      </w:r>
      <w:r w:rsidRPr="0007583F">
        <w:rPr>
          <w:rFonts w:ascii="Times New Roman" w:eastAsia="標楷體" w:hAnsi="Times New Roman" w:cs="Times New Roman" w:hint="eastAsia"/>
          <w:sz w:val="28"/>
          <w:szCs w:val="28"/>
        </w:rPr>
        <w:t>7.5</w:t>
      </w:r>
      <w:r w:rsidRPr="0007583F">
        <w:rPr>
          <w:rFonts w:ascii="Times New Roman" w:eastAsia="標楷體" w:hAnsi="Times New Roman" w:cs="Times New Roman" w:hint="eastAsia"/>
          <w:sz w:val="28"/>
          <w:szCs w:val="28"/>
        </w:rPr>
        <w:t>億元，</w:t>
      </w:r>
      <w:r>
        <w:rPr>
          <w:rFonts w:ascii="Times New Roman" w:eastAsia="標楷體" w:hAnsi="Times New Roman" w:cs="Times New Roman" w:hint="eastAsia"/>
          <w:sz w:val="28"/>
          <w:szCs w:val="28"/>
        </w:rPr>
        <w:t>另</w:t>
      </w:r>
      <w:r w:rsidRPr="0007583F">
        <w:rPr>
          <w:rFonts w:ascii="Times New Roman" w:eastAsia="標楷體" w:hAnsi="Times New Roman" w:cs="Times New Roman" w:hint="eastAsia"/>
          <w:sz w:val="28"/>
          <w:szCs w:val="28"/>
        </w:rPr>
        <w:t>培養技術商品化與創業，</w:t>
      </w:r>
      <w:r>
        <w:rPr>
          <w:rFonts w:ascii="Times New Roman" w:eastAsia="標楷體" w:hAnsi="Times New Roman" w:cs="Times New Roman" w:hint="eastAsia"/>
          <w:sz w:val="28"/>
          <w:szCs w:val="28"/>
        </w:rPr>
        <w:t>於</w:t>
      </w:r>
      <w:r w:rsidRPr="0007583F">
        <w:rPr>
          <w:rFonts w:ascii="Times New Roman" w:eastAsia="標楷體" w:hAnsi="Times New Roman" w:cs="Times New Roman" w:hint="eastAsia"/>
          <w:sz w:val="28"/>
          <w:szCs w:val="28"/>
        </w:rPr>
        <w:t>112</w:t>
      </w:r>
      <w:r w:rsidRPr="0007583F">
        <w:rPr>
          <w:rFonts w:ascii="Times New Roman" w:eastAsia="標楷體" w:hAnsi="Times New Roman" w:cs="Times New Roman" w:hint="eastAsia"/>
          <w:sz w:val="28"/>
          <w:szCs w:val="28"/>
        </w:rPr>
        <w:t>至</w:t>
      </w:r>
      <w:r w:rsidRPr="0007583F">
        <w:rPr>
          <w:rFonts w:ascii="Times New Roman" w:eastAsia="標楷體" w:hAnsi="Times New Roman" w:cs="Times New Roman" w:hint="eastAsia"/>
          <w:sz w:val="28"/>
          <w:szCs w:val="28"/>
        </w:rPr>
        <w:t>113</w:t>
      </w:r>
      <w:r w:rsidRPr="0007583F">
        <w:rPr>
          <w:rFonts w:ascii="Times New Roman" w:eastAsia="標楷體" w:hAnsi="Times New Roman" w:cs="Times New Roman" w:hint="eastAsia"/>
          <w:sz w:val="28"/>
          <w:szCs w:val="28"/>
        </w:rPr>
        <w:t>年補助</w:t>
      </w:r>
      <w:r w:rsidRPr="0007583F">
        <w:rPr>
          <w:rFonts w:ascii="Times New Roman" w:eastAsia="標楷體" w:hAnsi="Times New Roman" w:cs="Times New Roman" w:hint="eastAsia"/>
          <w:sz w:val="28"/>
          <w:szCs w:val="28"/>
        </w:rPr>
        <w:t>25</w:t>
      </w:r>
      <w:r w:rsidRPr="0007583F">
        <w:rPr>
          <w:rFonts w:ascii="Times New Roman" w:eastAsia="標楷體" w:hAnsi="Times New Roman" w:cs="Times New Roman" w:hint="eastAsia"/>
          <w:sz w:val="28"/>
          <w:szCs w:val="28"/>
        </w:rPr>
        <w:t>件計畫、</w:t>
      </w:r>
      <w:r w:rsidRPr="0007583F">
        <w:rPr>
          <w:rFonts w:ascii="Times New Roman" w:eastAsia="標楷體" w:hAnsi="Times New Roman" w:cs="Times New Roman" w:hint="eastAsia"/>
          <w:sz w:val="28"/>
          <w:szCs w:val="28"/>
        </w:rPr>
        <w:t>5</w:t>
      </w:r>
      <w:r w:rsidRPr="0007583F">
        <w:rPr>
          <w:rFonts w:ascii="Times New Roman" w:eastAsia="標楷體" w:hAnsi="Times New Roman" w:cs="Times New Roman" w:hint="eastAsia"/>
          <w:sz w:val="28"/>
          <w:szCs w:val="28"/>
        </w:rPr>
        <w:t>案成立衍生新創公司、</w:t>
      </w:r>
      <w:r w:rsidRPr="0007583F">
        <w:rPr>
          <w:rFonts w:ascii="Times New Roman" w:eastAsia="標楷體" w:hAnsi="Times New Roman" w:cs="Times New Roman" w:hint="eastAsia"/>
          <w:sz w:val="28"/>
          <w:szCs w:val="28"/>
        </w:rPr>
        <w:t>2</w:t>
      </w:r>
      <w:r w:rsidRPr="0007583F">
        <w:rPr>
          <w:rFonts w:ascii="Times New Roman" w:eastAsia="標楷體" w:hAnsi="Times New Roman" w:cs="Times New Roman" w:hint="eastAsia"/>
          <w:sz w:val="28"/>
          <w:szCs w:val="28"/>
        </w:rPr>
        <w:t>案獲得萌芽計畫未來將成立新創公司，另有</w:t>
      </w:r>
      <w:r w:rsidRPr="0007583F">
        <w:rPr>
          <w:rFonts w:ascii="Times New Roman" w:eastAsia="標楷體" w:hAnsi="Times New Roman" w:cs="Times New Roman" w:hint="eastAsia"/>
          <w:sz w:val="28"/>
          <w:szCs w:val="28"/>
        </w:rPr>
        <w:t>5</w:t>
      </w:r>
      <w:r w:rsidRPr="0007583F">
        <w:rPr>
          <w:rFonts w:ascii="Times New Roman" w:eastAsia="標楷體" w:hAnsi="Times New Roman" w:cs="Times New Roman" w:hint="eastAsia"/>
          <w:sz w:val="28"/>
          <w:szCs w:val="28"/>
        </w:rPr>
        <w:t>組學生團隊獲</w:t>
      </w:r>
      <w:r w:rsidRPr="0007583F">
        <w:rPr>
          <w:rFonts w:ascii="Times New Roman" w:eastAsia="標楷體" w:hAnsi="Times New Roman" w:cs="Times New Roman" w:hint="eastAsia"/>
          <w:sz w:val="28"/>
          <w:szCs w:val="28"/>
        </w:rPr>
        <w:t>U-start</w:t>
      </w:r>
      <w:r w:rsidRPr="0007583F">
        <w:rPr>
          <w:rFonts w:ascii="Times New Roman" w:eastAsia="標楷體" w:hAnsi="Times New Roman" w:cs="Times New Roman" w:hint="eastAsia"/>
          <w:sz w:val="28"/>
          <w:szCs w:val="28"/>
        </w:rPr>
        <w:t>創新創業計畫，累計已成立</w:t>
      </w:r>
      <w:r w:rsidRPr="0007583F">
        <w:rPr>
          <w:rFonts w:ascii="Times New Roman" w:eastAsia="標楷體" w:hAnsi="Times New Roman" w:cs="Times New Roman" w:hint="eastAsia"/>
          <w:sz w:val="28"/>
          <w:szCs w:val="28"/>
        </w:rPr>
        <w:t>7</w:t>
      </w:r>
      <w:r w:rsidRPr="0007583F">
        <w:rPr>
          <w:rFonts w:ascii="Times New Roman" w:eastAsia="標楷體" w:hAnsi="Times New Roman" w:cs="Times New Roman" w:hint="eastAsia"/>
          <w:sz w:val="28"/>
          <w:szCs w:val="28"/>
        </w:rPr>
        <w:t>家新創公司。</w:t>
      </w:r>
    </w:p>
    <w:p w14:paraId="64CD0181" w14:textId="2346CAC8" w:rsidR="00716A23" w:rsidRPr="00716A23" w:rsidRDefault="00716A23" w:rsidP="00716A23">
      <w:pPr>
        <w:spacing w:line="420" w:lineRule="exact"/>
        <w:ind w:firstLineChars="200" w:firstLine="560"/>
        <w:jc w:val="both"/>
        <w:rPr>
          <w:rFonts w:ascii="Times New Roman" w:eastAsia="標楷體" w:hAnsi="Times New Roman" w:cs="Times New Roman"/>
          <w:sz w:val="28"/>
          <w:szCs w:val="28"/>
        </w:rPr>
      </w:pPr>
      <w:r w:rsidRPr="00716A23">
        <w:rPr>
          <w:rFonts w:ascii="Times New Roman" w:eastAsia="標楷體" w:hAnsi="Times New Roman" w:cs="Times New Roman"/>
          <w:sz w:val="28"/>
          <w:szCs w:val="28"/>
        </w:rPr>
        <w:t>"Industry-Academia Collaboration"</w:t>
      </w:r>
    </w:p>
    <w:p w14:paraId="5E39856F" w14:textId="03478C82" w:rsidR="00716A23" w:rsidRPr="0007583F" w:rsidRDefault="00716A23" w:rsidP="00716A23">
      <w:pPr>
        <w:spacing w:line="420" w:lineRule="exact"/>
        <w:ind w:firstLineChars="200" w:firstLine="560"/>
        <w:jc w:val="both"/>
        <w:rPr>
          <w:rFonts w:ascii="Times New Roman" w:eastAsia="標楷體" w:hAnsi="Times New Roman" w:cs="Times New Roman"/>
          <w:sz w:val="28"/>
          <w:szCs w:val="28"/>
        </w:rPr>
      </w:pPr>
      <w:r w:rsidRPr="00716A23">
        <w:rPr>
          <w:rFonts w:ascii="Times New Roman" w:eastAsia="標楷體" w:hAnsi="Times New Roman" w:cs="Times New Roman"/>
          <w:sz w:val="28"/>
          <w:szCs w:val="28"/>
        </w:rPr>
        <w:t>Our university has joined the Cancer Moonshot initiative for cancer prevention, participated in CREID to combat emerging vi</w:t>
      </w:r>
      <w:r w:rsidR="006A252E">
        <w:rPr>
          <w:rFonts w:ascii="Times New Roman" w:eastAsia="標楷體" w:hAnsi="Times New Roman" w:cs="Times New Roman"/>
          <w:sz w:val="28"/>
          <w:szCs w:val="28"/>
        </w:rPr>
        <w:t xml:space="preserve">ruses, and collaborated with </w:t>
      </w:r>
      <w:r w:rsidR="006A252E" w:rsidRPr="006A252E">
        <w:rPr>
          <w:rFonts w:ascii="Times New Roman" w:eastAsia="標楷體" w:hAnsi="Times New Roman" w:cs="Times New Roman"/>
          <w:sz w:val="28"/>
          <w:szCs w:val="28"/>
        </w:rPr>
        <w:t>University of Southern California</w:t>
      </w:r>
      <w:r w:rsidRPr="00716A23">
        <w:rPr>
          <w:rFonts w:ascii="Times New Roman" w:eastAsia="標楷體" w:hAnsi="Times New Roman" w:cs="Times New Roman"/>
          <w:sz w:val="28"/>
          <w:szCs w:val="28"/>
        </w:rPr>
        <w:t xml:space="preserve"> on a global Parkinson’s disease initiative. We have invited renowned international scholars</w:t>
      </w:r>
      <w:r w:rsidR="002A1DEF">
        <w:rPr>
          <w:rFonts w:ascii="Times New Roman" w:eastAsia="標楷體" w:hAnsi="Times New Roman" w:cs="Times New Roman"/>
          <w:sz w:val="28"/>
          <w:szCs w:val="28"/>
        </w:rPr>
        <w:t>,</w:t>
      </w:r>
      <w:r w:rsidRPr="00716A23">
        <w:rPr>
          <w:rFonts w:ascii="Times New Roman" w:eastAsia="標楷體" w:hAnsi="Times New Roman" w:cs="Times New Roman"/>
          <w:sz w:val="28"/>
          <w:szCs w:val="28"/>
        </w:rPr>
        <w:t xml:space="preserve"> such as European Academy of Sciences member </w:t>
      </w:r>
      <w:proofErr w:type="spellStart"/>
      <w:r w:rsidRPr="00716A23">
        <w:rPr>
          <w:rFonts w:ascii="Times New Roman" w:eastAsia="標楷體" w:hAnsi="Times New Roman" w:cs="Times New Roman"/>
          <w:sz w:val="28"/>
          <w:szCs w:val="28"/>
        </w:rPr>
        <w:t>Siamon</w:t>
      </w:r>
      <w:proofErr w:type="spellEnd"/>
      <w:r w:rsidRPr="00716A23">
        <w:rPr>
          <w:rFonts w:ascii="Times New Roman" w:eastAsia="標楷體" w:hAnsi="Times New Roman" w:cs="Times New Roman"/>
          <w:sz w:val="28"/>
          <w:szCs w:val="28"/>
        </w:rPr>
        <w:t xml:space="preserve"> Gordon, Academia </w:t>
      </w:r>
      <w:proofErr w:type="spellStart"/>
      <w:r w:rsidRPr="00716A23">
        <w:rPr>
          <w:rFonts w:ascii="Times New Roman" w:eastAsia="標楷體" w:hAnsi="Times New Roman" w:cs="Times New Roman"/>
          <w:sz w:val="28"/>
          <w:szCs w:val="28"/>
        </w:rPr>
        <w:t>Sinica</w:t>
      </w:r>
      <w:proofErr w:type="spellEnd"/>
      <w:r w:rsidRPr="00716A23">
        <w:rPr>
          <w:rFonts w:ascii="Times New Roman" w:eastAsia="標楷體" w:hAnsi="Times New Roman" w:cs="Times New Roman"/>
          <w:sz w:val="28"/>
          <w:szCs w:val="28"/>
        </w:rPr>
        <w:t xml:space="preserve"> member Wu Tzu-Chou, and Johns Hopkins University Professor Shih Yi-Min to guide research in immunology and translational medicine. In the CWTS Leiden Ranking for global "Scientific Impact," we ranked 237</w:t>
      </w:r>
      <w:r w:rsidRPr="002A1DEF">
        <w:rPr>
          <w:rFonts w:ascii="Times New Roman" w:eastAsia="標楷體" w:hAnsi="Times New Roman" w:cs="Times New Roman"/>
          <w:sz w:val="28"/>
          <w:szCs w:val="28"/>
          <w:vertAlign w:val="superscript"/>
        </w:rPr>
        <w:t>th</w:t>
      </w:r>
      <w:r w:rsidR="002A1DEF">
        <w:rPr>
          <w:rFonts w:ascii="Times New Roman" w:eastAsia="標楷體" w:hAnsi="Times New Roman" w:cs="Times New Roman"/>
          <w:sz w:val="28"/>
          <w:szCs w:val="28"/>
        </w:rPr>
        <w:t xml:space="preserve"> </w:t>
      </w:r>
      <w:r w:rsidRPr="00716A23">
        <w:rPr>
          <w:rFonts w:ascii="Times New Roman" w:eastAsia="標楷體" w:hAnsi="Times New Roman" w:cs="Times New Roman"/>
          <w:sz w:val="28"/>
          <w:szCs w:val="28"/>
        </w:rPr>
        <w:t>worldwide and 3</w:t>
      </w:r>
      <w:r w:rsidRPr="002A1DEF">
        <w:rPr>
          <w:rFonts w:ascii="Times New Roman" w:eastAsia="標楷體" w:hAnsi="Times New Roman" w:cs="Times New Roman"/>
          <w:sz w:val="28"/>
          <w:szCs w:val="28"/>
          <w:vertAlign w:val="superscript"/>
        </w:rPr>
        <w:t>rd</w:t>
      </w:r>
      <w:r w:rsidR="002A1DEF">
        <w:rPr>
          <w:rFonts w:ascii="Times New Roman" w:eastAsia="標楷體" w:hAnsi="Times New Roman" w:cs="Times New Roman"/>
          <w:sz w:val="28"/>
          <w:szCs w:val="28"/>
        </w:rPr>
        <w:t xml:space="preserve"> </w:t>
      </w:r>
      <w:r w:rsidRPr="00716A23">
        <w:rPr>
          <w:rFonts w:ascii="Times New Roman" w:eastAsia="標楷體" w:hAnsi="Times New Roman" w:cs="Times New Roman"/>
          <w:sz w:val="28"/>
          <w:szCs w:val="28"/>
        </w:rPr>
        <w:t xml:space="preserve">nationally, </w:t>
      </w:r>
      <w:r w:rsidR="002A1DEF">
        <w:rPr>
          <w:rFonts w:ascii="Times New Roman" w:eastAsia="標楷體" w:hAnsi="Times New Roman" w:cs="Times New Roman"/>
          <w:sz w:val="28"/>
          <w:szCs w:val="28"/>
        </w:rPr>
        <w:lastRenderedPageBreak/>
        <w:t xml:space="preserve">following National Taiwan University and National Yang Ming </w:t>
      </w:r>
      <w:proofErr w:type="spellStart"/>
      <w:r w:rsidR="002A1DEF">
        <w:rPr>
          <w:rFonts w:ascii="Times New Roman" w:eastAsia="標楷體" w:hAnsi="Times New Roman" w:cs="Times New Roman"/>
          <w:sz w:val="28"/>
          <w:szCs w:val="28"/>
        </w:rPr>
        <w:t>Chiao</w:t>
      </w:r>
      <w:proofErr w:type="spellEnd"/>
      <w:r w:rsidR="002A1DEF">
        <w:rPr>
          <w:rFonts w:ascii="Times New Roman" w:eastAsia="標楷體" w:hAnsi="Times New Roman" w:cs="Times New Roman"/>
          <w:sz w:val="28"/>
          <w:szCs w:val="28"/>
        </w:rPr>
        <w:t xml:space="preserve"> Tung University</w:t>
      </w:r>
      <w:r w:rsidRPr="00716A23">
        <w:rPr>
          <w:rFonts w:ascii="Times New Roman" w:eastAsia="標楷體" w:hAnsi="Times New Roman" w:cs="Times New Roman"/>
          <w:sz w:val="28"/>
          <w:szCs w:val="28"/>
        </w:rPr>
        <w:t>. In "Biomedical and Health Sciences," we were 79</w:t>
      </w:r>
      <w:r w:rsidRPr="002A1DEF">
        <w:rPr>
          <w:rFonts w:ascii="Times New Roman" w:eastAsia="標楷體" w:hAnsi="Times New Roman" w:cs="Times New Roman"/>
          <w:sz w:val="28"/>
          <w:szCs w:val="28"/>
          <w:vertAlign w:val="superscript"/>
        </w:rPr>
        <w:t>th</w:t>
      </w:r>
      <w:r w:rsidR="002A1DEF">
        <w:rPr>
          <w:rFonts w:ascii="Times New Roman" w:eastAsia="標楷體" w:hAnsi="Times New Roman" w:cs="Times New Roman"/>
          <w:sz w:val="28"/>
          <w:szCs w:val="28"/>
        </w:rPr>
        <w:t xml:space="preserve"> </w:t>
      </w:r>
      <w:r w:rsidRPr="00716A23">
        <w:rPr>
          <w:rFonts w:ascii="Times New Roman" w:eastAsia="標楷體" w:hAnsi="Times New Roman" w:cs="Times New Roman"/>
          <w:sz w:val="28"/>
          <w:szCs w:val="28"/>
        </w:rPr>
        <w:t>globally and 1</w:t>
      </w:r>
      <w:r w:rsidRPr="002A1DEF">
        <w:rPr>
          <w:rFonts w:ascii="Times New Roman" w:eastAsia="標楷體" w:hAnsi="Times New Roman" w:cs="Times New Roman"/>
          <w:sz w:val="28"/>
          <w:szCs w:val="28"/>
          <w:vertAlign w:val="superscript"/>
        </w:rPr>
        <w:t>st</w:t>
      </w:r>
      <w:r w:rsidR="002A1DEF">
        <w:rPr>
          <w:rFonts w:ascii="Times New Roman" w:eastAsia="標楷體" w:hAnsi="Times New Roman" w:cs="Times New Roman"/>
          <w:sz w:val="28"/>
          <w:szCs w:val="28"/>
        </w:rPr>
        <w:t xml:space="preserve"> </w:t>
      </w:r>
      <w:r w:rsidRPr="00716A23">
        <w:rPr>
          <w:rFonts w:ascii="Times New Roman" w:eastAsia="標楷體" w:hAnsi="Times New Roman" w:cs="Times New Roman"/>
          <w:sz w:val="28"/>
          <w:szCs w:val="28"/>
        </w:rPr>
        <w:t>nationally.</w:t>
      </w:r>
      <w:r w:rsidR="002A1DEF">
        <w:rPr>
          <w:rFonts w:ascii="Times New Roman" w:eastAsia="標楷體" w:hAnsi="Times New Roman" w:cs="Times New Roman"/>
          <w:sz w:val="28"/>
          <w:szCs w:val="28"/>
        </w:rPr>
        <w:t xml:space="preserve"> </w:t>
      </w:r>
      <w:r w:rsidRPr="00716A23">
        <w:rPr>
          <w:rFonts w:ascii="Times New Roman" w:eastAsia="標楷體" w:hAnsi="Times New Roman" w:cs="Times New Roman"/>
          <w:sz w:val="28"/>
          <w:szCs w:val="28"/>
        </w:rPr>
        <w:t>In terms of industry-academia achievements from 2023 to 2024, we secured over NT</w:t>
      </w:r>
      <w:r w:rsidR="002A1DEF">
        <w:rPr>
          <w:rFonts w:ascii="Times New Roman" w:eastAsia="標楷體" w:hAnsi="Times New Roman" w:cs="Times New Roman"/>
          <w:sz w:val="28"/>
          <w:szCs w:val="28"/>
        </w:rPr>
        <w:t>D</w:t>
      </w:r>
      <w:r w:rsidRPr="00716A23">
        <w:rPr>
          <w:rFonts w:ascii="Times New Roman" w:eastAsia="標楷體" w:hAnsi="Times New Roman" w:cs="Times New Roman"/>
          <w:sz w:val="28"/>
          <w:szCs w:val="28"/>
        </w:rPr>
        <w:t>$360 million in technology transfer and NT</w:t>
      </w:r>
      <w:r w:rsidR="002A1DEF">
        <w:rPr>
          <w:rFonts w:ascii="Times New Roman" w:eastAsia="標楷體" w:hAnsi="Times New Roman" w:cs="Times New Roman"/>
          <w:sz w:val="28"/>
          <w:szCs w:val="28"/>
        </w:rPr>
        <w:t>D</w:t>
      </w:r>
      <w:r w:rsidRPr="00716A23">
        <w:rPr>
          <w:rFonts w:ascii="Times New Roman" w:eastAsia="標楷體" w:hAnsi="Times New Roman" w:cs="Times New Roman"/>
          <w:sz w:val="28"/>
          <w:szCs w:val="28"/>
        </w:rPr>
        <w:t>$750 million in industry-academia projects. We supported 25 plans for technology commercialization and entrepreneurship, established five derivative startups, and have two budding projects poised to establish new companies. Additionally, five student teams won U-Start Innovation and Entrepreneurship Program grants, cumulatively founding seven startups.</w:t>
      </w:r>
    </w:p>
    <w:p w14:paraId="3E8E14AD" w14:textId="77777777" w:rsidR="001064E0" w:rsidRDefault="001064E0" w:rsidP="001064E0">
      <w:pPr>
        <w:spacing w:line="420" w:lineRule="exact"/>
        <w:ind w:firstLineChars="200" w:firstLine="560"/>
        <w:jc w:val="both"/>
        <w:rPr>
          <w:rFonts w:ascii="Times New Roman" w:eastAsia="標楷體" w:hAnsi="Times New Roman" w:cs="Times New Roman"/>
          <w:sz w:val="28"/>
          <w:szCs w:val="28"/>
        </w:rPr>
      </w:pPr>
      <w:r w:rsidRPr="00C14F3D">
        <w:rPr>
          <w:rFonts w:ascii="Times New Roman" w:eastAsia="標楷體" w:hAnsi="Times New Roman" w:cs="Times New Roman" w:hint="eastAsia"/>
          <w:sz w:val="28"/>
          <w:szCs w:val="28"/>
        </w:rPr>
        <w:t>為</w:t>
      </w:r>
      <w:r>
        <w:rPr>
          <w:rFonts w:ascii="Times New Roman" w:eastAsia="標楷體" w:hAnsi="Times New Roman" w:cs="Times New Roman" w:hint="eastAsia"/>
          <w:sz w:val="28"/>
          <w:szCs w:val="28"/>
        </w:rPr>
        <w:t>實踐</w:t>
      </w:r>
      <w:r w:rsidRPr="00C14F3D">
        <w:rPr>
          <w:rFonts w:ascii="Times New Roman" w:eastAsia="標楷體" w:hAnsi="Times New Roman" w:cs="Times New Roman"/>
          <w:b/>
          <w:bCs/>
          <w:sz w:val="28"/>
          <w:szCs w:val="28"/>
        </w:rPr>
        <w:t>「提升高教公共性」</w:t>
      </w:r>
      <w:r w:rsidRPr="00D02FC7">
        <w:rPr>
          <w:rFonts w:ascii="Times New Roman" w:eastAsia="標楷體" w:hAnsi="Times New Roman" w:cs="Times New Roman" w:hint="eastAsia"/>
          <w:sz w:val="28"/>
          <w:szCs w:val="28"/>
        </w:rPr>
        <w:t>本校提供保障名額增進經濟不利學生入學機會，並建構完善輔導機制，從學習面、生活面、經濟面及制度面等予以全方位輔導協助，藉由導師關懷網絡，每年平均輔導</w:t>
      </w:r>
      <w:r w:rsidRPr="00D02FC7">
        <w:rPr>
          <w:rFonts w:ascii="Times New Roman" w:eastAsia="標楷體" w:hAnsi="Times New Roman" w:cs="Times New Roman" w:hint="eastAsia"/>
          <w:sz w:val="28"/>
          <w:szCs w:val="28"/>
        </w:rPr>
        <w:t>1,000</w:t>
      </w:r>
      <w:r w:rsidRPr="00D02FC7">
        <w:rPr>
          <w:rFonts w:ascii="Times New Roman" w:eastAsia="標楷體" w:hAnsi="Times New Roman" w:cs="Times New Roman" w:hint="eastAsia"/>
          <w:sz w:val="28"/>
          <w:szCs w:val="28"/>
        </w:rPr>
        <w:t>人次，</w:t>
      </w:r>
      <w:proofErr w:type="gramStart"/>
      <w:r w:rsidRPr="00D02FC7">
        <w:rPr>
          <w:rFonts w:ascii="Times New Roman" w:eastAsia="標楷體" w:hAnsi="Times New Roman" w:cs="Times New Roman" w:hint="eastAsia"/>
          <w:sz w:val="28"/>
          <w:szCs w:val="28"/>
        </w:rPr>
        <w:t>112</w:t>
      </w:r>
      <w:proofErr w:type="gramEnd"/>
      <w:r w:rsidRPr="00D02FC7">
        <w:rPr>
          <w:rFonts w:ascii="Times New Roman" w:eastAsia="標楷體" w:hAnsi="Times New Roman" w:cs="Times New Roman" w:hint="eastAsia"/>
          <w:sz w:val="28"/>
          <w:szCs w:val="28"/>
        </w:rPr>
        <w:t>年度累計核發各類助學金</w:t>
      </w:r>
      <w:r w:rsidRPr="00D02FC7">
        <w:rPr>
          <w:rFonts w:ascii="Times New Roman" w:eastAsia="標楷體" w:hAnsi="Times New Roman" w:cs="Times New Roman" w:hint="eastAsia"/>
          <w:sz w:val="28"/>
          <w:szCs w:val="28"/>
        </w:rPr>
        <w:t>1,278</w:t>
      </w:r>
      <w:r w:rsidRPr="00D02FC7">
        <w:rPr>
          <w:rFonts w:ascii="Times New Roman" w:eastAsia="標楷體" w:hAnsi="Times New Roman" w:cs="Times New Roman" w:hint="eastAsia"/>
          <w:sz w:val="28"/>
          <w:szCs w:val="28"/>
        </w:rPr>
        <w:t>人、總金額達</w:t>
      </w:r>
      <w:r w:rsidRPr="00D02FC7">
        <w:rPr>
          <w:rFonts w:ascii="Times New Roman" w:eastAsia="標楷體" w:hAnsi="Times New Roman" w:cs="Times New Roman" w:hint="eastAsia"/>
          <w:sz w:val="28"/>
          <w:szCs w:val="28"/>
        </w:rPr>
        <w:t>911</w:t>
      </w:r>
      <w:r w:rsidRPr="00D02FC7">
        <w:rPr>
          <w:rFonts w:ascii="Times New Roman" w:eastAsia="標楷體" w:hAnsi="Times New Roman" w:cs="Times New Roman" w:hint="eastAsia"/>
          <w:sz w:val="28"/>
          <w:szCs w:val="28"/>
        </w:rPr>
        <w:t>餘萬元</w:t>
      </w:r>
      <w:r>
        <w:rPr>
          <w:rFonts w:ascii="Times New Roman" w:eastAsia="標楷體" w:hAnsi="Times New Roman" w:cs="Times New Roman" w:hint="eastAsia"/>
          <w:sz w:val="28"/>
          <w:szCs w:val="28"/>
        </w:rPr>
        <w:t>；另</w:t>
      </w:r>
      <w:r w:rsidRPr="0007583F">
        <w:rPr>
          <w:rFonts w:ascii="Times New Roman" w:eastAsia="標楷體" w:hAnsi="Times New Roman" w:cs="Times New Roman"/>
          <w:sz w:val="28"/>
          <w:szCs w:val="28"/>
        </w:rPr>
        <w:t>為優化校務經營與辦學成效，建立以數據為基礎的決策機制，</w:t>
      </w:r>
      <w:r>
        <w:rPr>
          <w:rFonts w:ascii="Times New Roman" w:eastAsia="標楷體" w:hAnsi="Times New Roman" w:cs="Times New Roman" w:hint="eastAsia"/>
          <w:sz w:val="28"/>
          <w:szCs w:val="28"/>
        </w:rPr>
        <w:t>除</w:t>
      </w:r>
      <w:r w:rsidRPr="0007583F">
        <w:rPr>
          <w:rFonts w:ascii="Times New Roman" w:eastAsia="標楷體" w:hAnsi="Times New Roman" w:cs="Times New Roman"/>
          <w:sz w:val="28"/>
          <w:szCs w:val="28"/>
        </w:rPr>
        <w:t>整合校內外多種</w:t>
      </w:r>
      <w:r>
        <w:rPr>
          <w:rFonts w:ascii="Times New Roman" w:eastAsia="標楷體" w:hAnsi="Times New Roman" w:cs="Times New Roman" w:hint="eastAsia"/>
          <w:sz w:val="28"/>
          <w:szCs w:val="28"/>
        </w:rPr>
        <w:t>資料</w:t>
      </w:r>
      <w:r w:rsidRPr="0007583F">
        <w:rPr>
          <w:rFonts w:ascii="Times New Roman" w:eastAsia="標楷體" w:hAnsi="Times New Roman" w:cs="Times New Roman"/>
          <w:sz w:val="28"/>
          <w:szCs w:val="28"/>
        </w:rPr>
        <w:t>來源</w:t>
      </w:r>
      <w:r>
        <w:rPr>
          <w:rFonts w:ascii="Times New Roman" w:eastAsia="標楷體" w:hAnsi="Times New Roman" w:cs="Times New Roman" w:hint="eastAsia"/>
          <w:sz w:val="28"/>
          <w:szCs w:val="28"/>
        </w:rPr>
        <w:t>，</w:t>
      </w:r>
      <w:r w:rsidRPr="0007583F">
        <w:rPr>
          <w:rFonts w:ascii="Times New Roman" w:eastAsia="標楷體" w:hAnsi="Times New Roman" w:cs="Times New Roman"/>
          <w:sz w:val="28"/>
          <w:szCs w:val="28"/>
        </w:rPr>
        <w:t>建置</w:t>
      </w:r>
      <w:r w:rsidRPr="0007583F">
        <w:rPr>
          <w:rFonts w:ascii="Times New Roman" w:eastAsia="標楷體" w:hAnsi="Times New Roman" w:cs="Times New Roman"/>
          <w:sz w:val="28"/>
          <w:szCs w:val="28"/>
        </w:rPr>
        <w:t>41</w:t>
      </w:r>
      <w:r w:rsidRPr="0007583F">
        <w:rPr>
          <w:rFonts w:ascii="Times New Roman" w:eastAsia="標楷體" w:hAnsi="Times New Roman" w:cs="Times New Roman"/>
          <w:sz w:val="28"/>
          <w:szCs w:val="28"/>
        </w:rPr>
        <w:t>個辦學成效分析儀表板，提供指標診斷報表作為各單位持續精進之決策參考</w:t>
      </w:r>
      <w:r>
        <w:rPr>
          <w:rFonts w:ascii="Times New Roman" w:eastAsia="標楷體" w:hAnsi="Times New Roman" w:cs="Times New Roman" w:hint="eastAsia"/>
          <w:sz w:val="28"/>
          <w:szCs w:val="28"/>
        </w:rPr>
        <w:t>，並協助各單位針對高教深耕計畫重點推動項目進行</w:t>
      </w:r>
      <w:r>
        <w:rPr>
          <w:rFonts w:ascii="Times New Roman" w:eastAsia="標楷體" w:hAnsi="Times New Roman" w:cs="Times New Roman" w:hint="eastAsia"/>
          <w:color w:val="000000" w:themeColor="text1"/>
          <w:sz w:val="28"/>
          <w:szCs w:val="28"/>
        </w:rPr>
        <w:t>PDCA</w:t>
      </w:r>
      <w:r w:rsidRPr="004E7BFE">
        <w:rPr>
          <w:rFonts w:ascii="Times New Roman" w:eastAsia="標楷體" w:hAnsi="Times New Roman" w:cs="Times New Roman"/>
          <w:color w:val="000000" w:themeColor="text1"/>
          <w:sz w:val="28"/>
          <w:szCs w:val="28"/>
        </w:rPr>
        <w:t>循環式品質管理</w:t>
      </w:r>
      <w:r>
        <w:rPr>
          <w:rFonts w:ascii="Times New Roman" w:eastAsia="標楷體" w:hAnsi="Times New Roman" w:cs="Times New Roman" w:hint="eastAsia"/>
          <w:color w:val="000000" w:themeColor="text1"/>
          <w:sz w:val="28"/>
          <w:szCs w:val="28"/>
        </w:rPr>
        <w:t>，以能持續滾動修正不斷精進發展</w:t>
      </w:r>
      <w:r w:rsidRPr="0007583F">
        <w:rPr>
          <w:rFonts w:ascii="Times New Roman" w:eastAsia="標楷體" w:hAnsi="Times New Roman" w:cs="Times New Roman"/>
          <w:sz w:val="28"/>
          <w:szCs w:val="28"/>
        </w:rPr>
        <w:t>。</w:t>
      </w:r>
    </w:p>
    <w:p w14:paraId="48F647AA" w14:textId="77777777" w:rsidR="00DE3AB7" w:rsidRPr="00DE3AB7" w:rsidRDefault="00DE3AB7" w:rsidP="00DE3AB7">
      <w:pPr>
        <w:spacing w:line="420" w:lineRule="exact"/>
        <w:ind w:firstLineChars="200" w:firstLine="560"/>
        <w:jc w:val="both"/>
        <w:rPr>
          <w:rFonts w:ascii="Times New Roman" w:eastAsia="標楷體" w:hAnsi="Times New Roman" w:cs="Times New Roman"/>
          <w:sz w:val="28"/>
          <w:szCs w:val="28"/>
        </w:rPr>
      </w:pPr>
      <w:r w:rsidRPr="00DE3AB7">
        <w:rPr>
          <w:rFonts w:ascii="Times New Roman" w:eastAsia="標楷體" w:hAnsi="Times New Roman" w:cs="Times New Roman"/>
          <w:sz w:val="28"/>
          <w:szCs w:val="28"/>
        </w:rPr>
        <w:t>"Enhancing Public Accessibility in Higher Education"</w:t>
      </w:r>
    </w:p>
    <w:p w14:paraId="156D5BE8" w14:textId="2E4B37D5" w:rsidR="00AC130A" w:rsidRPr="00DE3AB7" w:rsidRDefault="00DE3AB7" w:rsidP="00DE3AB7">
      <w:pPr>
        <w:spacing w:line="420" w:lineRule="exact"/>
        <w:ind w:firstLineChars="200" w:firstLine="560"/>
        <w:jc w:val="both"/>
        <w:rPr>
          <w:rFonts w:ascii="Times New Roman" w:eastAsia="標楷體" w:hAnsi="Times New Roman" w:cs="Times New Roman"/>
          <w:sz w:val="28"/>
          <w:szCs w:val="28"/>
        </w:rPr>
      </w:pPr>
      <w:r w:rsidRPr="00DE3AB7">
        <w:rPr>
          <w:rFonts w:ascii="Times New Roman" w:eastAsia="標楷體" w:hAnsi="Times New Roman" w:cs="Times New Roman"/>
          <w:sz w:val="28"/>
          <w:szCs w:val="28"/>
        </w:rPr>
        <w:t>Our university provides guaranteed admission quotas to increase opportunities for economically disadvantaged students, alongside a comprehensive support mechanism cov</w:t>
      </w:r>
      <w:r>
        <w:rPr>
          <w:rFonts w:ascii="Times New Roman" w:eastAsia="標楷體" w:hAnsi="Times New Roman" w:cs="Times New Roman"/>
          <w:sz w:val="28"/>
          <w:szCs w:val="28"/>
        </w:rPr>
        <w:t>ering learning, living, financial</w:t>
      </w:r>
      <w:r w:rsidRPr="00DE3AB7">
        <w:rPr>
          <w:rFonts w:ascii="Times New Roman" w:eastAsia="標楷體" w:hAnsi="Times New Roman" w:cs="Times New Roman"/>
          <w:sz w:val="28"/>
          <w:szCs w:val="28"/>
        </w:rPr>
        <w:t>, and institutional aspects. With a mentoring care network, we counsel approximately 1,000 students annually, issuing 1,278 scholarships in 2023, totaling over NT</w:t>
      </w:r>
      <w:r>
        <w:rPr>
          <w:rFonts w:ascii="Times New Roman" w:eastAsia="標楷體" w:hAnsi="Times New Roman" w:cs="Times New Roman"/>
          <w:sz w:val="28"/>
          <w:szCs w:val="28"/>
        </w:rPr>
        <w:t>D</w:t>
      </w:r>
      <w:r w:rsidRPr="00DE3AB7">
        <w:rPr>
          <w:rFonts w:ascii="Times New Roman" w:eastAsia="標楷體" w:hAnsi="Times New Roman" w:cs="Times New Roman"/>
          <w:sz w:val="28"/>
          <w:szCs w:val="28"/>
        </w:rPr>
        <w:t>$9.11 million. To optimize university governance and institutional effectiveness, we established data-driven decision-making mechanisms. This includes integrating various data sources and creating 41 institutional performance analysis dashboards, offering diagnostic indicator reports to guide continuous improvement by units. Moreover, we assist units in implementing the PDCA cycle for quality management in key projects under the Higher</w:t>
      </w:r>
      <w:r>
        <w:rPr>
          <w:rFonts w:ascii="Times New Roman" w:eastAsia="標楷體" w:hAnsi="Times New Roman" w:cs="Times New Roman"/>
          <w:sz w:val="28"/>
          <w:szCs w:val="28"/>
        </w:rPr>
        <w:t xml:space="preserve"> Education Sprout Project</w:t>
      </w:r>
      <w:r w:rsidRPr="00DE3AB7">
        <w:rPr>
          <w:rFonts w:ascii="Times New Roman" w:eastAsia="標楷體" w:hAnsi="Times New Roman" w:cs="Times New Roman"/>
          <w:sz w:val="28"/>
          <w:szCs w:val="28"/>
        </w:rPr>
        <w:t>, ensuring sustainable development through iterative refinement.</w:t>
      </w:r>
    </w:p>
    <w:p w14:paraId="48E80CAE" w14:textId="77777777" w:rsidR="00102897" w:rsidRPr="001064E0" w:rsidRDefault="00102897"/>
    <w:sectPr w:rsidR="00102897" w:rsidRPr="001064E0" w:rsidSect="00C20F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E0"/>
    <w:rsid w:val="00102897"/>
    <w:rsid w:val="001064E0"/>
    <w:rsid w:val="002A1DEF"/>
    <w:rsid w:val="006461AF"/>
    <w:rsid w:val="006A252E"/>
    <w:rsid w:val="00716A23"/>
    <w:rsid w:val="007A0C0E"/>
    <w:rsid w:val="00A6169A"/>
    <w:rsid w:val="00AC130A"/>
    <w:rsid w:val="00B92A20"/>
    <w:rsid w:val="00C20F62"/>
    <w:rsid w:val="00DC2A1A"/>
    <w:rsid w:val="00DE3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1061"/>
  <w15:docId w15:val="{D0702EBD-BF30-4BDB-A4BA-CB9F3038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4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標1,(1)(1)(1)(1)(1)(1)(1)(1),網推會說明清單,附錄1,1.2.3.,壹_二階,List Paragraph1,12 20,標11,標12,List Paragraph,標題 (4),1.1.1.1清單段落,列點,(二),貿易局(一),Recommendation,Footnote Sam,List Paragraph (numbered (a)),Text,Noise heading,RUS List,Rec para,Dot pt,No Spacing1"/>
    <w:basedOn w:val="a"/>
    <w:link w:val="a4"/>
    <w:uiPriority w:val="34"/>
    <w:qFormat/>
    <w:rsid w:val="001064E0"/>
    <w:pPr>
      <w:widowControl/>
      <w:ind w:leftChars="200" w:left="480"/>
    </w:pPr>
    <w:rPr>
      <w:rFonts w:ascii="新細明體" w:eastAsia="新細明體" w:hAnsi="新細明體" w:cs="新細明體"/>
      <w:kern w:val="0"/>
      <w:szCs w:val="24"/>
    </w:rPr>
  </w:style>
  <w:style w:type="character" w:customStyle="1" w:styleId="a4">
    <w:name w:val="清單段落 字元"/>
    <w:aliases w:val="卑南壹 字元,標1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3"/>
    <w:uiPriority w:val="34"/>
    <w:qFormat/>
    <w:rsid w:val="001064E0"/>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葉芷彤</cp:lastModifiedBy>
  <cp:revision>2</cp:revision>
  <dcterms:created xsi:type="dcterms:W3CDTF">2025-03-04T05:47:00Z</dcterms:created>
  <dcterms:modified xsi:type="dcterms:W3CDTF">2025-03-04T05:47:00Z</dcterms:modified>
</cp:coreProperties>
</file>